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510"/>
        <w:gridCol w:w="850"/>
        <w:gridCol w:w="313"/>
        <w:gridCol w:w="7"/>
        <w:gridCol w:w="229"/>
        <w:gridCol w:w="585"/>
        <w:gridCol w:w="975"/>
        <w:gridCol w:w="1151"/>
        <w:gridCol w:w="132"/>
      </w:tblGrid>
      <w:tr w:rsidR="009675C3" w:rsidRPr="002A00C3" w14:paraId="69DC9F64" w14:textId="77777777" w:rsidTr="002D07E3">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34B44E16"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134"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126"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14:paraId="69DC9F6F" w14:textId="77777777" w:rsidTr="002D07E3">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69DC9F66"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68"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tcPr>
          <w:p w14:paraId="69DC9F6B"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14:paraId="69DC9F6C" w14:textId="202C1CFD"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134"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126"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D07E3" w14:paraId="69DC9F79" w14:textId="77777777" w:rsidTr="002D07E3">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D07E3" w14:paraId="69DC9F84" w14:textId="77777777" w:rsidTr="002D07E3">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14:paraId="69DC9F7B" w14:textId="4C5850E2"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Birzeit University </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7323D1AE"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w:t>
            </w: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F" w14:textId="4E7825AB"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Birzeit, West Bank</w:t>
            </w:r>
          </w:p>
        </w:tc>
        <w:tc>
          <w:tcPr>
            <w:tcW w:w="850" w:type="dxa"/>
            <w:tcBorders>
              <w:top w:val="single" w:sz="8" w:space="0" w:color="auto"/>
              <w:left w:val="nil"/>
              <w:bottom w:val="double" w:sz="6" w:space="0" w:color="auto"/>
              <w:right w:val="single" w:sz="8" w:space="0" w:color="auto"/>
            </w:tcBorders>
            <w:shd w:val="clear" w:color="auto" w:fill="auto"/>
            <w:noWrap/>
            <w:vAlign w:val="bottom"/>
            <w:hideMark/>
          </w:tcPr>
          <w:p w14:paraId="69DC9F80" w14:textId="402FE969" w:rsidR="00EB0036" w:rsidRPr="002A00C3" w:rsidRDefault="00E06921"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Palestine </w:t>
            </w: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05C22C1" w:rsidR="00EB0036" w:rsidRPr="002A00C3" w:rsidRDefault="003E68FE" w:rsidP="00E75EAB">
            <w:pPr>
              <w:spacing w:after="0" w:line="240" w:lineRule="auto"/>
              <w:jc w:val="center"/>
              <w:rPr>
                <w:rFonts w:ascii="Calibri" w:eastAsia="Times New Roman" w:hAnsi="Calibri" w:cs="Times New Roman"/>
                <w:color w:val="000000"/>
                <w:sz w:val="16"/>
                <w:szCs w:val="16"/>
                <w:lang w:val="en-GB" w:eastAsia="en-GB"/>
              </w:rPr>
            </w:pPr>
            <w:hyperlink r:id="rId11" w:history="1">
              <w:r w:rsidR="00E06921" w:rsidRPr="00341006">
                <w:rPr>
                  <w:rStyle w:val="Hyperlink"/>
                  <w:rFonts w:ascii="Calibri" w:eastAsia="Times New Roman" w:hAnsi="Calibri" w:cs="Times New Roman"/>
                  <w:sz w:val="16"/>
                  <w:szCs w:val="16"/>
                  <w:lang w:val="en-GB" w:eastAsia="en-GB"/>
                </w:rPr>
                <w:t>External.relations@birzeit.edu</w:t>
              </w:r>
            </w:hyperlink>
            <w:r w:rsidR="00E06921">
              <w:rPr>
                <w:rFonts w:ascii="Calibri" w:eastAsia="Times New Roman" w:hAnsi="Calibri" w:cs="Times New Roman"/>
                <w:color w:val="000000"/>
                <w:sz w:val="16"/>
                <w:szCs w:val="16"/>
                <w:lang w:val="en-GB" w:eastAsia="en-GB"/>
              </w:rPr>
              <w:t xml:space="preserve"> </w:t>
            </w:r>
          </w:p>
        </w:tc>
      </w:tr>
      <w:tr w:rsidR="00EB0036" w:rsidRPr="002D07E3" w14:paraId="69DC9F8E" w14:textId="77777777" w:rsidTr="002D07E3">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843"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C714A9" w:rsidRPr="002D07E3" w14:paraId="69DC9F99" w14:textId="77777777" w:rsidTr="005C1EE5">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C714A9" w:rsidRPr="002A00C3" w:rsidRDefault="00C714A9" w:rsidP="00C714A9">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14:paraId="2E8986F8" w14:textId="77777777" w:rsidR="00C714A9"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p w14:paraId="69DC9F90" w14:textId="05C69688" w:rsidR="005C1EE5" w:rsidRPr="00696B1D" w:rsidRDefault="005C1EE5" w:rsidP="00C714A9">
            <w:pPr>
              <w:spacing w:after="0" w:line="240" w:lineRule="auto"/>
              <w:jc w:val="center"/>
              <w:rPr>
                <w:rFonts w:ascii="Calibri" w:eastAsia="Times New Roman" w:hAnsi="Calibri" w:cs="Times New Roman"/>
                <w:color w:val="000000" w:themeColor="text1"/>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14:paraId="69DC9F91" w14:textId="0851DAAF"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14:paraId="69DC9F92" w14:textId="24F155F4"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tc>
        <w:tc>
          <w:tcPr>
            <w:tcW w:w="1843" w:type="dxa"/>
            <w:gridSpan w:val="3"/>
            <w:tcBorders>
              <w:top w:val="single" w:sz="8" w:space="0" w:color="auto"/>
              <w:left w:val="nil"/>
              <w:bottom w:val="double" w:sz="6" w:space="0" w:color="auto"/>
              <w:right w:val="single" w:sz="8" w:space="0" w:color="auto"/>
            </w:tcBorders>
            <w:shd w:val="clear" w:color="auto" w:fill="auto"/>
            <w:noWrap/>
            <w:vAlign w:val="bottom"/>
          </w:tcPr>
          <w:p w14:paraId="69DC9F95" w14:textId="67FDA28D" w:rsidR="00C714A9" w:rsidRPr="00696B1D" w:rsidRDefault="00C714A9" w:rsidP="008B17F8">
            <w:pPr>
              <w:spacing w:after="0" w:line="240" w:lineRule="auto"/>
              <w:jc w:val="center"/>
              <w:rPr>
                <w:rFonts w:ascii="Calibri" w:eastAsia="Times New Roman" w:hAnsi="Calibri" w:cs="Times New Roman"/>
                <w:color w:val="000000" w:themeColor="text1"/>
                <w:sz w:val="16"/>
                <w:szCs w:val="16"/>
                <w:lang w:val="en-GB" w:eastAsia="en-GB"/>
              </w:rPr>
            </w:pPr>
          </w:p>
        </w:tc>
        <w:tc>
          <w:tcPr>
            <w:tcW w:w="850" w:type="dxa"/>
            <w:tcBorders>
              <w:top w:val="single" w:sz="8" w:space="0" w:color="auto"/>
              <w:left w:val="nil"/>
              <w:bottom w:val="double" w:sz="6" w:space="0" w:color="auto"/>
              <w:right w:val="single" w:sz="8" w:space="0" w:color="auto"/>
            </w:tcBorders>
            <w:shd w:val="clear" w:color="auto" w:fill="auto"/>
            <w:noWrap/>
            <w:vAlign w:val="bottom"/>
          </w:tcPr>
          <w:p w14:paraId="69DC9F96" w14:textId="637B2672"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tc>
        <w:tc>
          <w:tcPr>
            <w:tcW w:w="3260" w:type="dxa"/>
            <w:gridSpan w:val="6"/>
            <w:tcBorders>
              <w:top w:val="single" w:sz="8" w:space="0" w:color="auto"/>
              <w:left w:val="nil"/>
              <w:bottom w:val="double" w:sz="6" w:space="0" w:color="auto"/>
              <w:right w:val="double" w:sz="6" w:space="0" w:color="auto"/>
            </w:tcBorders>
            <w:shd w:val="clear" w:color="auto" w:fill="auto"/>
            <w:noWrap/>
            <w:vAlign w:val="bottom"/>
          </w:tcPr>
          <w:p w14:paraId="69DC9F97" w14:textId="2FD05FF2" w:rsidR="00C714A9" w:rsidRPr="00696B1D" w:rsidRDefault="00C714A9" w:rsidP="00C714A9">
            <w:pPr>
              <w:spacing w:after="0" w:line="240" w:lineRule="auto"/>
              <w:jc w:val="center"/>
              <w:rPr>
                <w:rFonts w:ascii="Calibri" w:eastAsia="Times New Roman" w:hAnsi="Calibri" w:cs="Times New Roman"/>
                <w:color w:val="000000" w:themeColor="text1"/>
                <w:sz w:val="16"/>
                <w:szCs w:val="16"/>
                <w:lang w:val="en-GB" w:eastAsia="en-GB"/>
              </w:rPr>
            </w:pPr>
          </w:p>
        </w:tc>
      </w:tr>
      <w:tr w:rsidR="00022A30" w:rsidRPr="002D07E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3465509E"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1419D7" w:rsidRDefault="00022A30" w:rsidP="00B57D80">
            <w:pPr>
              <w:spacing w:after="0" w:line="240" w:lineRule="auto"/>
              <w:rPr>
                <w:rFonts w:ascii="Calibri" w:eastAsia="Times New Roman" w:hAnsi="Calibri" w:cs="Times New Roman"/>
                <w:color w:val="000000"/>
                <w:sz w:val="10"/>
                <w:szCs w:val="16"/>
                <w:lang w:val="en-GB" w:eastAsia="en-GB"/>
              </w:rPr>
            </w:pPr>
          </w:p>
        </w:tc>
      </w:tr>
      <w:tr w:rsidR="00B57D80" w:rsidRPr="002D07E3"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7777777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2D07E3"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2D07E3"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2D07E3"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2D07E3" w14:paraId="69DC9FEC" w14:textId="77777777" w:rsidTr="002D07E3">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2D07E3"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DD8C473"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EndnoteReference"/>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________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F0" w14:textId="042475C4" w:rsidR="00FB49EE" w:rsidRPr="002A00C3" w:rsidRDefault="005C1EE5" w:rsidP="005F7298">
      <w:pPr>
        <w:spacing w:after="0" w:line="240" w:lineRule="auto"/>
        <w:jc w:val="center"/>
        <w:rPr>
          <w:rFonts w:ascii="Calibri" w:eastAsia="Times New Roman" w:hAnsi="Calibri" w:cs="Times New Roman"/>
          <w:color w:val="000000"/>
          <w:sz w:val="16"/>
          <w:szCs w:val="16"/>
          <w:lang w:val="en-GB" w:eastAsia="en-GB"/>
        </w:rPr>
      </w:pPr>
      <w:r w:rsidRPr="00C418D6">
        <w:rPr>
          <w:rFonts w:ascii="Calibri" w:eastAsia="Times New Roman" w:hAnsi="Calibri" w:cs="Times New Roman"/>
          <w:b/>
          <w:bCs/>
          <w:noProof/>
          <w:color w:val="000000"/>
          <w:sz w:val="16"/>
          <w:szCs w:val="16"/>
          <w:lang w:val="en-US"/>
        </w:rPr>
        <mc:AlternateContent>
          <mc:Choice Requires="wps">
            <w:drawing>
              <wp:anchor distT="0" distB="0" distL="114300" distR="114300" simplePos="0" relativeHeight="251658240" behindDoc="1" locked="0" layoutInCell="1" allowOverlap="1" wp14:anchorId="5AFC8AB4" wp14:editId="34A5FBB5">
                <wp:simplePos x="0" y="0"/>
                <wp:positionH relativeFrom="column">
                  <wp:posOffset>1878330</wp:posOffset>
                </wp:positionH>
                <wp:positionV relativeFrom="paragraph">
                  <wp:posOffset>-4859655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5DF2AC3C" w:rsidR="00C418D6"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41C6641F" w14:textId="77777777" w:rsidR="005C1EE5" w:rsidRPr="00945287" w:rsidRDefault="005C1EE5" w:rsidP="00945287">
                            <w:pPr>
                              <w:spacing w:after="120" w:line="240" w:lineRule="auto"/>
                              <w:ind w:right="28"/>
                              <w:jc w:val="center"/>
                              <w:rPr>
                                <w:rFonts w:ascii="Verdana" w:eastAsia="Times New Roman" w:hAnsi="Verdana" w:cs="Arial"/>
                                <w:b/>
                                <w:color w:val="002060"/>
                                <w:sz w:val="28"/>
                                <w:szCs w:val="36"/>
                                <w:lang w:val="en-G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47.9pt;margin-top:-382.65pt;width:264pt;height:4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8nDQIAAPYDAAAOAAAAZHJzL2Uyb0RvYy54bWysU9tu2zAMfR+wfxD0vthJk6414hRdugwD&#10;ugvQ7QNkWY6FyaJGKbG7ry8lu2m2vQ3TgyCK1CF5eLS+GTrDjgq9Blvy+SznTFkJtbb7kn//tntz&#10;xZkPwtbCgFUlf1Se32xev1r3rlALaMHUChmBWF/0ruRtCK7IMi9b1Qk/A6csORvATgQycZ/VKHpC&#10;70y2yPPLrAesHYJU3tPt3ejkm4TfNEqGL03jVWCm5FRbSDumvYp7tlmLYo/CtVpOZYh/qKIT2lLS&#10;E9SdCIIdUP8F1WmJ4KEJMwldBk2jpUo9UDfz/I9uHlrhVOqFyPHuRJP/f7Dy8/HBfUUWhncw0ABT&#10;E97dg/zhmYVtK+xe3SJC3ypRU+J5pCzrnS+mp5FqX/gIUvWfoKYhi0OABDQ02EVWqE9G6DSAxxPp&#10;aghM0uXFxWpxlZNLku9yvsyXq5RCFM+vHfrwQUHH4qHkSENN6OJ470OsRhTPITGZB6PrnTYmGbiv&#10;tgbZUZAAdmlN6L+FGcv6kl+vFquEbCG+T9rodCCBGt2VnKqkNUomsvHe1ikkCG3GM1Vi7ERPZGTk&#10;JgzVQIGRpgrqRyIKYRQifRw6tIC/OOtJhCX3Pw8CFWfmoyWyr+fLZVRtMpartwsy8NxTnXuElQRV&#10;8sDZeNyGpPTIg4VbGkqjE18vlUy1krgSjdNHiOo9t1PUy3fdPAEAAP//AwBQSwMEFAAGAAgAAAAh&#10;AJlDb2XgAAAADQEAAA8AAABkcnMvZG93bnJldi54bWxMj89Og0AQxu8mvsNmTLyYdpHKQpGlURON&#10;19Y+wAJTILKzhN0W+vaOJz1+f/LNb4rdYgdxwcn3jjQ8riMQSLVremo1HL/eVxkIHww1ZnCEGq7o&#10;YVfe3hQmb9xMe7wcQit4hHxuNHQhjLmUvu7QGr92IxJnJzdZE1hOrWwmM/O4HWQcRUpa0xNf6MyI&#10;bx3W34ez1XD6nB+S7Vx9hGO6f1Kvpk8rd9X6/m55eQYRcAl/ZfjFZ3QomalyZ2q8GDTE24TRg4ZV&#10;qpINCK5k8Yatii2lMgWyLOT/L8ofAAAA//8DAFBLAQItABQABgAIAAAAIQC2gziS/gAAAOEBAAAT&#10;AAAAAAAAAAAAAAAAAAAAAABbQ29udGVudF9UeXBlc10ueG1sUEsBAi0AFAAGAAgAAAAhADj9If/W&#10;AAAAlAEAAAsAAAAAAAAAAAAAAAAALwEAAF9yZWxzLy5yZWxzUEsBAi0AFAAGAAgAAAAhAAdtfycN&#10;AgAA9gMAAA4AAAAAAAAAAAAAAAAALgIAAGRycy9lMm9Eb2MueG1sUEsBAi0AFAAGAAgAAAAhAJlD&#10;b2XgAAAADQEAAA8AAAAAAAAAAAAAAAAAZwQAAGRycy9kb3ducmV2LnhtbFBLBQYAAAAABAAEAPMA&#10;AAB0BQAAAAA=&#10;" stroked="f">
                <v:textbox>
                  <w:txbxContent>
                    <w:p w14:paraId="17172925" w14:textId="77777777" w:rsidR="00C418D6" w:rsidRPr="00945287" w:rsidRDefault="00C418D6"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5DF2AC3C" w:rsidR="00C418D6" w:rsidRDefault="00C418D6"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p w14:paraId="41C6641F" w14:textId="77777777" w:rsidR="005C1EE5" w:rsidRPr="00945287" w:rsidRDefault="005C1EE5" w:rsidP="00945287">
                      <w:pPr>
                        <w:spacing w:after="120" w:line="240" w:lineRule="auto"/>
                        <w:ind w:right="28"/>
                        <w:jc w:val="center"/>
                        <w:rPr>
                          <w:rFonts w:ascii="Verdana" w:eastAsia="Times New Roman" w:hAnsi="Verdana" w:cs="Arial"/>
                          <w:b/>
                          <w:color w:val="002060"/>
                          <w:sz w:val="28"/>
                          <w:szCs w:val="3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982"/>
        <w:gridCol w:w="1134"/>
        <w:gridCol w:w="4320"/>
        <w:gridCol w:w="1680"/>
        <w:gridCol w:w="2940"/>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4"/>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2D07E3"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2D07E3"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2D07E3"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2D07E3"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2D07E3"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2D07E3"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2D07E3" w14:paraId="69DCA02E" w14:textId="77777777" w:rsidTr="007445F5">
        <w:trPr>
          <w:trHeight w:val="205"/>
        </w:trPr>
        <w:tc>
          <w:tcPr>
            <w:tcW w:w="11056" w:type="dxa"/>
            <w:gridSpan w:val="5"/>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5EB16" w14:textId="77777777" w:rsidR="003E68FE" w:rsidRDefault="003E68FE" w:rsidP="00261299">
      <w:pPr>
        <w:spacing w:after="0" w:line="240" w:lineRule="auto"/>
      </w:pPr>
      <w:r>
        <w:separator/>
      </w:r>
    </w:p>
  </w:endnote>
  <w:endnote w:type="continuationSeparator" w:id="0">
    <w:p w14:paraId="54D590FA" w14:textId="77777777" w:rsidR="003E68FE" w:rsidRDefault="003E68FE" w:rsidP="00261299">
      <w:pPr>
        <w:spacing w:after="0" w:line="240" w:lineRule="auto"/>
      </w:pPr>
      <w:r>
        <w:continuationSeparator/>
      </w:r>
    </w:p>
  </w:endnote>
  <w:endnote w:id="1">
    <w:p w14:paraId="6E58722B" w14:textId="6B32E62B" w:rsidR="00774BD5" w:rsidRPr="00114066" w:rsidRDefault="00774BD5"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0143319"/>
      <w:docPartObj>
        <w:docPartGallery w:val="Page Numbers (Bottom of Page)"/>
        <w:docPartUnique/>
      </w:docPartObj>
    </w:sdtPr>
    <w:sdtEndPr>
      <w:rPr>
        <w:noProof/>
      </w:rPr>
    </w:sdtEndPr>
    <w:sdtContent>
      <w:p w14:paraId="695D0B5C" w14:textId="089E5074" w:rsidR="00774BD5" w:rsidRDefault="00774BD5">
        <w:pPr>
          <w:pStyle w:val="Footer"/>
          <w:jc w:val="center"/>
        </w:pPr>
        <w:r>
          <w:fldChar w:fldCharType="begin"/>
        </w:r>
        <w:r>
          <w:instrText xml:space="preserve"> PAGE   \* MERGEFORMAT </w:instrText>
        </w:r>
        <w:r>
          <w:fldChar w:fldCharType="separate"/>
        </w:r>
        <w:r w:rsidR="007D2607">
          <w:rPr>
            <w:noProof/>
          </w:rPr>
          <w:t>2</w:t>
        </w:r>
        <w:r>
          <w:rPr>
            <w:noProof/>
          </w:rPr>
          <w:fldChar w:fldCharType="end"/>
        </w:r>
      </w:p>
    </w:sdtContent>
  </w:sdt>
  <w:p w14:paraId="1FA71B8D" w14:textId="77777777" w:rsidR="00774BD5" w:rsidRDefault="00774B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E901D" w14:textId="77777777" w:rsidR="003E68FE" w:rsidRDefault="003E68FE" w:rsidP="00261299">
      <w:pPr>
        <w:spacing w:after="0" w:line="240" w:lineRule="auto"/>
      </w:pPr>
      <w:r>
        <w:separator/>
      </w:r>
    </w:p>
  </w:footnote>
  <w:footnote w:type="continuationSeparator" w:id="0">
    <w:p w14:paraId="5AC300A7" w14:textId="77777777" w:rsidR="003E68FE" w:rsidRDefault="003E68FE"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1FF" w14:textId="62811F2F" w:rsidR="00774BD5" w:rsidRDefault="00CA5AB4" w:rsidP="00784E7F">
    <w:pPr>
      <w:pStyle w:val="Header"/>
      <w:jc w:val="center"/>
    </w:pPr>
    <w:r w:rsidRPr="00A04811">
      <w:rPr>
        <w:noProof/>
        <w:lang w:val="en-US"/>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en-US"/>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TpM3wEAAKEDAAAOAAAAZHJzL2Uyb0RvYy54bWysU9tu2zAMfR+wfxD0vjgOclmNOEXXosOA&#10;7gJ0+wBZlmxhtqhRSuzs60fJaZqtb8VeBFGkD885pLfXY9+xg0JvwJY8n805U1ZCbWxT8h/f79+9&#10;58wHYWvRgVUlPyrPr3dv32wHV6gFtNDVChmBWF8MruRtCK7IMi9b1Qs/A6csJTVgLwKF2GQ1ioHQ&#10;+y5bzOfrbACsHYJU3tPr3ZTku4SvtZLhq9ZeBdaVnLiFdGI6q3hmu60oGhSuNfJEQ7yCRS+MpaZn&#10;qDsRBNujeQHVG4ngQYeZhD4DrY1USQOpyef/qHlshVNJC5nj3dkm//9g5ZfDo/uGLIwfYKQBJhHe&#10;PYD86ZmF21bYRt0gwtAqUVPjPFqWDc4Xp0+j1b7wEaQaPkNNQxb7AAlo1NhHV0gnI3QawPFsuhoD&#10;k7HlJs+v1pSSlFtvVqv1MrUQxdPXDn34qKBn8VJypKEmdHF48CGyEcVTSWxm4d50XRpsZ/96oML4&#10;kthHwhP1MFYjVUcVFdRH0oEw7QntNV1awN+cDbQjJfe/9gIVZ90nS15c5ctlXKoULFebBQV4maku&#10;M8JKgip54Gy63oZpEfcOTdNSp8l9CzfknzZJ2jOrE2/ag6T4tLNx0S7jVPX8Z+3+AAAA//8DAFBL&#10;AwQUAAYACAAAACEACiT63t4AAAALAQAADwAAAGRycy9kb3ducmV2LnhtbEyPwU7DMBBE70j8g7VI&#10;3Fo7UaiaNE6FQFxBtIDEzY23SdR4HcVuE/6e7QmOoxnNvCm3s+vFBcfQedKQLBUIpNrbjhoNH/uX&#10;xRpEiIas6T2hhh8MsK1ub0pTWD/RO152sRFcQqEwGtoYh0LKULfoTFj6AYm9ox+diSzHRtrRTFzu&#10;epkqtZLOdMQLrRnwqcX6tDs7DZ+vx++vTL01z+5hmPysJLlcan1/Nz9uQESc418YrviMDhUzHfyZ&#10;bBC9hnWWM3rUsEhVCuKaSJI8A3Fgb5WCrEr5/0P1CwAA//8DAFBLAQItABQABgAIAAAAIQC2gziS&#10;/gAAAOEBAAATAAAAAAAAAAAAAAAAAAAAAABbQ29udGVudF9UeXBlc10ueG1sUEsBAi0AFAAGAAgA&#10;AAAhADj9If/WAAAAlAEAAAsAAAAAAAAAAAAAAAAALwEAAF9yZWxzLy5yZWxzUEsBAi0AFAAGAAgA&#10;AAAhALvBOkzfAQAAoQMAAA4AAAAAAAAAAAAAAAAALgIAAGRycy9lMm9Eb2MueG1sUEsBAi0AFAAG&#10;AAgAAAAhAAok+t7eAAAACwEAAA8AAAAAAAAAAAAAAAAAOQQAAGRycy9kb3ducmV2LnhtbFBLBQYA&#10;AAAABAAEAPMAAABEBQAAAAA=&#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en-US"/>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Tp4wEAAKgDAAAOAAAAZHJzL2Uyb0RvYy54bWysU8Fu1DAQvSPxD5bvbLJR2NJos1VpVYRU&#10;KFLhAxzHSSwSjxl7N1m+nrGTbhe4Vb1YnhnnzXtvJturaejZQaHTYEq+XqWcKSOh1qYt+Y/vd+8+&#10;cOa8MLXowaiSH5XjV7u3b7ajLVQGHfS1QkYgxhWjLXnnvS2SxMlODcKtwCpDxQZwEJ5CbJMaxUjo&#10;Q59kabpJRsDaIkjlHGVv5yLfRfymUdI/NI1TnvUlJ24+nhjPKpzJbiuKFoXttFxoiBewGIQ21PQE&#10;dSu8YHvU/0ENWiI4aPxKwpBA02ipogZSs07/UfPYCauiFjLH2ZNN7vVg5dfDo/2GzE8fYaIBRhHO&#10;3oP86ZiBm06YVl0jwtgpUVPjdbAsGa0rlk+D1a5wAaQav0BNQxZ7DxFoanAIrpBORug0gOPJdDV5&#10;JimZbdI0vdhwJqmW5Zv8Mk4lEcXT1xad/6RgYOFScqShRnRxuHc+sBHF05PQzMCd7vs42N78laCH&#10;IRPZB8IzdT9VE9P1Ii2IqaA+khyEeV1ovenSAf7mbKRVKbn7tReoOOs/G7Lkcp3nYbdikL+/yCjA&#10;80p1XhFGElTJPWfz9cbP+7i3qNuOOs1DMHBNNjY6KnxmtdCndYjCl9UN+3Yex1fPP9juDwAAAP//&#10;AwBQSwMEFAAGAAgAAAAhAHlFGpvdAAAACAEAAA8AAABkcnMvZG93bnJldi54bWxMj8FOwzAQRO9I&#10;/QdrK3Fr7VShkBCnqoq4gihQqTc33iYR8TqK3Sb8PcsJjrMzmnlbbCbXiSsOofWkIVkqEEiVty3V&#10;Gj7enxcPIEI0ZE3nCTV8Y4BNObspTG79SG943cdacAmF3GhoYuxzKUPVoDNh6Xsk9s5+cCayHGpp&#10;BzNyuevkSqm1dKYlXmhMj7sGq6/9xWn4fDkfD6l6rZ/cXT/6SUlymdT6dj5tH0FEnOJfGH7xGR1K&#10;Zjr5C9kgOg3ZmoMaFmlyD4L9NMkSECe+rDKQZSH/P1D+AAAA//8DAFBLAQItABQABgAIAAAAIQC2&#10;gziS/gAAAOEBAAATAAAAAAAAAAAAAAAAAAAAAABbQ29udGVudF9UeXBlc10ueG1sUEsBAi0AFAAG&#10;AAgAAAAhADj9If/WAAAAlAEAAAsAAAAAAAAAAAAAAAAALwEAAF9yZWxzLy5yZWxzUEsBAi0AFAAG&#10;AAgAAAAhAJjXdOnjAQAAqAMAAA4AAAAAAAAAAAAAAAAALgIAAGRycy9lMm9Eb2MueG1sUEsBAi0A&#10;FAAGAAgAAAAhAHlFGpvdAAAACAEAAA8AAAAAAAAAAAAAAAAAPQQAAGRycy9kb3ducmV2LnhtbFBL&#10;BQYAAAAABAAEAPMAAABHBQAAAAA=&#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CA200" w14:textId="77777777" w:rsidR="00774BD5" w:rsidRDefault="00774BD5">
    <w:pPr>
      <w:pStyle w:val="Header"/>
    </w:pPr>
    <w:r>
      <w:rPr>
        <w:noProof/>
        <w:lang w:val="en-US"/>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kp4wEAAKgDAAAOAAAAZHJzL2Uyb0RvYy54bWysU9GO0zAQfEfiHyy/07RRrtCo6em40yGk&#10;g0M6+ADHsROLxGvWbpPy9aydXq/AG+LFsr3O7MzsZHs9DT07KPQGbMVXiyVnykpojG0r/u3r/Zt3&#10;nPkgbCN6sKriR+X59e71q+3oSpVDB32jkBGI9eXoKt6F4Mos87JTg/ALcMpSUQMOItAR26xBMRL6&#10;0Gf5crnORsDGIUjlPd3ezUW+S/haKxketfYqsL7ixC2kFdNaxzXbbUXZonCdkSca4h9YDMJYanqG&#10;uhNBsD2av6AGIxE86LCQMGSgtZEqaSA1q+Ufap464VTSQuZ4d7bJ/z9Y+fnw5L4gC9N7mGiASYR3&#10;DyC/e2bhthO2VTeIMHZKNNR4FS3LRufL06fRal/6CFKPn6ChIYt9gAQ0aRyiK6STEToN4Hg2XU2B&#10;ydhyU+TF+oozSbUi3+TrNJVMlM9fO/Thg4KBxU3FkYaa0MXhwYfIRpTPT2IzC/em79Nge/vbBT2M&#10;N4l9JDxTD1M9MdNUPI/SopgamiPJQZjjQvGmTQf4k7ORolJx/2MvUHHWf7RkyWZVFDFb6VBcvc3p&#10;gJeV+rIirCSoigfO5u1tmPO4d2jajjrNQ7BwQzZqkxS+sDrRpzgk4afoxrxdntOrlx9s9wsAAP//&#10;AwBQSwMEFAAGAAgAAAAhAEKrqzjfAAAACwEAAA8AAABkcnMvZG93bnJldi54bWxMj0FPwkAQhe8m&#10;/ofNkHiD3VZALJ0So/GqAdTE29Id2sbubNNdaP33Lic5Tt6X977JN6NtxZl63zhGSGYKBHHpTMMV&#10;wsf+dboC4YNmo1vHhPBLHjbF7U2uM+MG3tJ5FyoRS9hnGqEOocuk9GVNVvuZ64hjdnS91SGefSVN&#10;r4dYbluZKrWUVjccF2rd0XNN5c/uZBE+347fX3P1Xr3YRTe4UUm2jxLxbjI+rUEEGsM/DBf9qA5F&#10;dDq4ExsvWoRVOk8jijBNHpYgLkRyrxIQB4SFUiCLXF7/UPwBAAD//wMAUEsBAi0AFAAGAAgAAAAh&#10;ALaDOJL+AAAA4QEAABMAAAAAAAAAAAAAAAAAAAAAAFtDb250ZW50X1R5cGVzXS54bWxQSwECLQAU&#10;AAYACAAAACEAOP0h/9YAAACUAQAACwAAAAAAAAAAAAAAAAAvAQAAX3JlbHMvLnJlbHNQSwECLQAU&#10;AAYACAAAACEA6br5KeMBAACoAwAADgAAAAAAAAAAAAAAAAAuAgAAZHJzL2Uyb0RvYy54bWxQSwEC&#10;LQAUAAYACAAAACEAQqurON8AAAALAQAADwAAAAAAAAAAAAAAAAA9BAAAZHJzL2Rvd25yZXYueG1s&#10;UEsFBgAAAAAEAAQA8wAAAEkFA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19D7"/>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239"/>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1E0C"/>
    <w:rsid w:val="002B616F"/>
    <w:rsid w:val="002C0F75"/>
    <w:rsid w:val="002C55B7"/>
    <w:rsid w:val="002C7BCE"/>
    <w:rsid w:val="002D07E3"/>
    <w:rsid w:val="002D28CF"/>
    <w:rsid w:val="002D3C62"/>
    <w:rsid w:val="002E3D29"/>
    <w:rsid w:val="00300379"/>
    <w:rsid w:val="003027C2"/>
    <w:rsid w:val="0030397D"/>
    <w:rsid w:val="00306148"/>
    <w:rsid w:val="0030662F"/>
    <w:rsid w:val="00320D9D"/>
    <w:rsid w:val="00321E4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E68FE"/>
    <w:rsid w:val="003F152F"/>
    <w:rsid w:val="003F2100"/>
    <w:rsid w:val="003F470A"/>
    <w:rsid w:val="0040400D"/>
    <w:rsid w:val="004044CD"/>
    <w:rsid w:val="0040686A"/>
    <w:rsid w:val="00412537"/>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6426"/>
    <w:rsid w:val="004C27BF"/>
    <w:rsid w:val="004C42DE"/>
    <w:rsid w:val="004C4684"/>
    <w:rsid w:val="004D0FBD"/>
    <w:rsid w:val="004D2F6F"/>
    <w:rsid w:val="004D31F9"/>
    <w:rsid w:val="004D524B"/>
    <w:rsid w:val="004E1BEE"/>
    <w:rsid w:val="004E5157"/>
    <w:rsid w:val="004F27A9"/>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1EE5"/>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96B1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5014"/>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0327"/>
    <w:rsid w:val="00754279"/>
    <w:rsid w:val="0075724E"/>
    <w:rsid w:val="0076359B"/>
    <w:rsid w:val="00764C84"/>
    <w:rsid w:val="00767CCE"/>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2607"/>
    <w:rsid w:val="007D38D8"/>
    <w:rsid w:val="007D6BF6"/>
    <w:rsid w:val="007E0CD6"/>
    <w:rsid w:val="007F1C0E"/>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17F8"/>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1149F"/>
    <w:rsid w:val="00921B87"/>
    <w:rsid w:val="00921BC5"/>
    <w:rsid w:val="009265A8"/>
    <w:rsid w:val="00927EC4"/>
    <w:rsid w:val="00935E8B"/>
    <w:rsid w:val="009401D3"/>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44A9A"/>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5DE"/>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5B41"/>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6F57"/>
    <w:rsid w:val="00BF7181"/>
    <w:rsid w:val="00C00540"/>
    <w:rsid w:val="00C20765"/>
    <w:rsid w:val="00C25483"/>
    <w:rsid w:val="00C36988"/>
    <w:rsid w:val="00C40DF3"/>
    <w:rsid w:val="00C418D6"/>
    <w:rsid w:val="00C4379D"/>
    <w:rsid w:val="00C45685"/>
    <w:rsid w:val="00C609FB"/>
    <w:rsid w:val="00C60CD6"/>
    <w:rsid w:val="00C62242"/>
    <w:rsid w:val="00C6753F"/>
    <w:rsid w:val="00C714A9"/>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921"/>
    <w:rsid w:val="00E06DEF"/>
    <w:rsid w:val="00E11D8B"/>
    <w:rsid w:val="00E13202"/>
    <w:rsid w:val="00E140F4"/>
    <w:rsid w:val="00E16FA3"/>
    <w:rsid w:val="00E17AFC"/>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4F73"/>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20E73589-2D45-48F5-BEE4-55AC16B4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 w:type="character" w:customStyle="1" w:styleId="gmaildefault">
    <w:name w:val="gmail_default"/>
    <w:basedOn w:val="DefaultParagraphFont"/>
    <w:rsid w:val="007F1C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xternal.relations@birzeit.ed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C2F165D7-1ACC-43F1-BFFE-87371DBEB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56F9B7BE-7EFC-4C82-9954-0581E45C3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2</Pages>
  <Words>286</Words>
  <Characters>1632</Characters>
  <Application>Microsoft Office Word</Application>
  <DocSecurity>0</DocSecurity>
  <Lines>13</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Raghda S Shamali</cp:lastModifiedBy>
  <cp:revision>2</cp:revision>
  <cp:lastPrinted>2015-04-10T09:51:00Z</cp:lastPrinted>
  <dcterms:created xsi:type="dcterms:W3CDTF">2024-04-12T22:03:00Z</dcterms:created>
  <dcterms:modified xsi:type="dcterms:W3CDTF">2024-04-12T22:03:00Z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