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BE81" w14:textId="77777777" w:rsidR="0059643B" w:rsidRDefault="0059643B" w:rsidP="0059643B">
      <w:pPr>
        <w:pStyle w:val="NoSpacing"/>
        <w:jc w:val="both"/>
        <w:rPr>
          <w:rFonts w:ascii="Book Antiqua" w:hAnsi="Book Antiqua"/>
          <w:b/>
          <w:bCs/>
          <w:color w:val="000000"/>
          <w:lang w:val="en-GB"/>
        </w:rPr>
      </w:pPr>
    </w:p>
    <w:p w14:paraId="0FCD29EA" w14:textId="77777777" w:rsidR="0059643B" w:rsidRDefault="0059643B" w:rsidP="0059643B">
      <w:pPr>
        <w:pStyle w:val="NoSpacing"/>
        <w:jc w:val="both"/>
        <w:rPr>
          <w:rFonts w:ascii="Book Antiqua" w:hAnsi="Book Antiqua"/>
          <w:b/>
          <w:bCs/>
          <w:color w:val="000000"/>
          <w:lang w:val="en-GB"/>
        </w:rPr>
      </w:pPr>
    </w:p>
    <w:p w14:paraId="4CCDC1AF" w14:textId="77777777" w:rsidR="0059643B" w:rsidRPr="00E73B87" w:rsidRDefault="0059643B" w:rsidP="0059643B">
      <w:pPr>
        <w:pStyle w:val="NoSpacing"/>
        <w:jc w:val="both"/>
        <w:rPr>
          <w:rFonts w:ascii="Book Antiqua" w:hAnsi="Book Antiqua"/>
          <w:b/>
          <w:bCs/>
          <w:color w:val="000000"/>
          <w:lang w:val="en-GB"/>
        </w:rPr>
      </w:pPr>
      <w:r w:rsidRPr="00E73B87">
        <w:rPr>
          <w:rFonts w:ascii="Book Antiqua" w:hAnsi="Book Antiqua"/>
          <w:b/>
          <w:bCs/>
          <w:color w:val="000000"/>
          <w:lang w:val="en-GB"/>
        </w:rPr>
        <w:t>In Defence of Academic Freedom in Palestine</w:t>
      </w:r>
      <w:r>
        <w:rPr>
          <w:rFonts w:ascii="Book Antiqua" w:hAnsi="Book Antiqua"/>
          <w:b/>
          <w:bCs/>
          <w:color w:val="000000"/>
          <w:lang w:val="en-GB"/>
        </w:rPr>
        <w:t xml:space="preserve">: Expression of Rejection against </w:t>
      </w:r>
      <w:r w:rsidRPr="00725ADB">
        <w:rPr>
          <w:rFonts w:ascii="Book Antiqua" w:hAnsi="Book Antiqua"/>
          <w:b/>
          <w:bCs/>
          <w:i/>
          <w:iCs/>
          <w:color w:val="000000"/>
          <w:lang w:val="en-GB"/>
        </w:rPr>
        <w:t>Procedures for Entry and Residency of Foreigners in Judea and Samaria Region</w:t>
      </w:r>
    </w:p>
    <w:p w14:paraId="0C8C41F3" w14:textId="77777777" w:rsidR="0059643B" w:rsidRDefault="0059643B" w:rsidP="0059643B">
      <w:pPr>
        <w:pStyle w:val="NoSpacing"/>
        <w:jc w:val="both"/>
        <w:rPr>
          <w:rFonts w:ascii="Book Antiqua" w:hAnsi="Book Antiqua"/>
          <w:color w:val="000000"/>
          <w:lang w:val="en-GB"/>
        </w:rPr>
      </w:pPr>
    </w:p>
    <w:p w14:paraId="7BCAC5EA" w14:textId="77777777" w:rsidR="0059643B" w:rsidRPr="00171338" w:rsidRDefault="0059643B" w:rsidP="0059643B">
      <w:pPr>
        <w:pStyle w:val="NoSpacing"/>
        <w:jc w:val="both"/>
        <w:rPr>
          <w:rFonts w:ascii="Book Antiqua" w:hAnsi="Book Antiqua"/>
        </w:rPr>
      </w:pPr>
      <w:r w:rsidRPr="00171338">
        <w:rPr>
          <w:rFonts w:ascii="Book Antiqua" w:hAnsi="Book Antiqua"/>
          <w:color w:val="000000"/>
          <w:lang w:val="en-GB"/>
        </w:rPr>
        <w:t xml:space="preserve">We are academics from the University of Ghana who have read with deep concern the </w:t>
      </w:r>
      <w:r w:rsidRPr="00171338">
        <w:rPr>
          <w:rFonts w:ascii="Book Antiqua" w:hAnsi="Book Antiqua"/>
        </w:rPr>
        <w:t xml:space="preserve">new </w:t>
      </w:r>
      <w:r w:rsidRPr="00171338">
        <w:rPr>
          <w:rFonts w:ascii="Book Antiqua" w:hAnsi="Book Antiqua"/>
          <w:color w:val="000000"/>
          <w:lang w:val="en-GB"/>
        </w:rPr>
        <w:t xml:space="preserve">directives </w:t>
      </w:r>
      <w:r w:rsidRPr="00171338">
        <w:rPr>
          <w:rFonts w:ascii="Book Antiqua" w:hAnsi="Book Antiqua"/>
        </w:rPr>
        <w:t>– “Procedure for Entry and Residency of Foreigners in Judea and Samaria Region (Section C),” – issued by the Israeli government on February 20, 2022</w:t>
      </w:r>
      <w:r>
        <w:rPr>
          <w:rFonts w:ascii="Book Antiqua" w:hAnsi="Book Antiqua"/>
        </w:rPr>
        <w:t>, which</w:t>
      </w:r>
      <w:r w:rsidRPr="00171338">
        <w:rPr>
          <w:rFonts w:ascii="Book Antiqua" w:hAnsi="Book Antiqua"/>
        </w:rPr>
        <w:t xml:space="preserve"> detail</w:t>
      </w:r>
      <w:r>
        <w:rPr>
          <w:rFonts w:ascii="Book Antiqua" w:hAnsi="Book Antiqua"/>
        </w:rPr>
        <w:t>s</w:t>
      </w:r>
      <w:r w:rsidRPr="00171338">
        <w:rPr>
          <w:rFonts w:ascii="Book Antiqua" w:hAnsi="Book Antiqua"/>
        </w:rPr>
        <w:t xml:space="preserve"> the entry and residency of students, </w:t>
      </w:r>
      <w:proofErr w:type="gramStart"/>
      <w:r w:rsidRPr="00171338">
        <w:rPr>
          <w:rFonts w:ascii="Book Antiqua" w:hAnsi="Book Antiqua"/>
        </w:rPr>
        <w:t>academics</w:t>
      </w:r>
      <w:proofErr w:type="gramEnd"/>
      <w:r w:rsidRPr="00171338">
        <w:rPr>
          <w:rFonts w:ascii="Book Antiqua" w:hAnsi="Book Antiqua"/>
        </w:rPr>
        <w:t xml:space="preserve"> and scholars from oversees to </w:t>
      </w:r>
      <w:r>
        <w:rPr>
          <w:rFonts w:ascii="Book Antiqua" w:hAnsi="Book Antiqua"/>
        </w:rPr>
        <w:t xml:space="preserve">Palestinian universities, </w:t>
      </w:r>
      <w:r w:rsidRPr="00171338">
        <w:rPr>
          <w:rFonts w:ascii="Book Antiqua" w:hAnsi="Book Antiqua"/>
        </w:rPr>
        <w:t>effect</w:t>
      </w:r>
      <w:r>
        <w:rPr>
          <w:rFonts w:ascii="Book Antiqua" w:hAnsi="Book Antiqua"/>
        </w:rPr>
        <w:t xml:space="preserve">ive </w:t>
      </w:r>
      <w:r w:rsidRPr="00171338">
        <w:rPr>
          <w:rFonts w:ascii="Book Antiqua" w:hAnsi="Book Antiqua"/>
        </w:rPr>
        <w:t xml:space="preserve">May 20, 2022. </w:t>
      </w:r>
    </w:p>
    <w:p w14:paraId="2D179C84" w14:textId="77777777" w:rsidR="0059643B" w:rsidRPr="00171338" w:rsidRDefault="0059643B" w:rsidP="0059643B">
      <w:pPr>
        <w:pStyle w:val="NoSpacing"/>
        <w:jc w:val="both"/>
        <w:rPr>
          <w:rFonts w:ascii="Book Antiqua" w:hAnsi="Book Antiqua"/>
        </w:rPr>
      </w:pPr>
    </w:p>
    <w:p w14:paraId="7DDC4D30" w14:textId="77777777" w:rsidR="0059643B" w:rsidRPr="00171338" w:rsidRDefault="0059643B" w:rsidP="0059643B">
      <w:pPr>
        <w:pStyle w:val="NoSpacing"/>
        <w:jc w:val="both"/>
        <w:rPr>
          <w:rFonts w:ascii="Book Antiqua" w:hAnsi="Book Antiqua"/>
          <w:color w:val="000000"/>
        </w:rPr>
      </w:pPr>
      <w:r w:rsidRPr="00171338">
        <w:rPr>
          <w:rFonts w:ascii="Book Antiqua" w:hAnsi="Book Antiqua"/>
          <w:color w:val="000000"/>
          <w:lang w:val="en-GB"/>
        </w:rPr>
        <w:t>As</w:t>
      </w:r>
      <w:r>
        <w:rPr>
          <w:rFonts w:ascii="Book Antiqua" w:hAnsi="Book Antiqua"/>
          <w:color w:val="000000"/>
          <w:lang w:val="en-GB"/>
        </w:rPr>
        <w:t xml:space="preserve"> sympathizers</w:t>
      </w:r>
      <w:r w:rsidRPr="00171338">
        <w:rPr>
          <w:rFonts w:ascii="Book Antiqua" w:hAnsi="Book Antiqua"/>
          <w:color w:val="000000"/>
          <w:lang w:val="en-GB"/>
        </w:rPr>
        <w:t xml:space="preserve"> of </w:t>
      </w:r>
      <w:proofErr w:type="spellStart"/>
      <w:r w:rsidRPr="00171338">
        <w:rPr>
          <w:rFonts w:ascii="Book Antiqua" w:hAnsi="Book Antiqua"/>
          <w:color w:val="000000"/>
          <w:lang w:val="en-GB"/>
        </w:rPr>
        <w:t>Birzeit</w:t>
      </w:r>
      <w:proofErr w:type="spellEnd"/>
      <w:r w:rsidRPr="00171338">
        <w:rPr>
          <w:rFonts w:ascii="Book Antiqua" w:hAnsi="Book Antiqua"/>
          <w:color w:val="000000"/>
          <w:lang w:val="en-GB"/>
        </w:rPr>
        <w:t>, we have been following developments at Palestinian universit</w:t>
      </w:r>
      <w:r>
        <w:rPr>
          <w:rFonts w:ascii="Book Antiqua" w:hAnsi="Book Antiqua"/>
          <w:color w:val="000000"/>
          <w:lang w:val="en-GB"/>
        </w:rPr>
        <w:t xml:space="preserve">ies with keen interest and concern due to the unduly </w:t>
      </w:r>
      <w:r w:rsidRPr="00171338">
        <w:rPr>
          <w:rFonts w:ascii="Book Antiqua" w:hAnsi="Book Antiqua"/>
          <w:color w:val="000000"/>
          <w:lang w:val="en-GB"/>
        </w:rPr>
        <w:t xml:space="preserve">severe restrictions that have been imposed on the running of </w:t>
      </w:r>
      <w:r>
        <w:rPr>
          <w:rFonts w:ascii="Book Antiqua" w:hAnsi="Book Antiqua"/>
          <w:color w:val="000000"/>
          <w:lang w:val="en-GB"/>
        </w:rPr>
        <w:t>Palestinian</w:t>
      </w:r>
      <w:r w:rsidRPr="00171338">
        <w:rPr>
          <w:rFonts w:ascii="Book Antiqua" w:hAnsi="Book Antiqua"/>
          <w:color w:val="000000"/>
          <w:lang w:val="en-GB"/>
        </w:rPr>
        <w:t xml:space="preserve"> universit</w:t>
      </w:r>
      <w:r>
        <w:rPr>
          <w:rFonts w:ascii="Book Antiqua" w:hAnsi="Book Antiqua"/>
          <w:color w:val="000000"/>
          <w:lang w:val="en-GB"/>
        </w:rPr>
        <w:t>ies</w:t>
      </w:r>
      <w:r w:rsidRPr="00171338">
        <w:rPr>
          <w:rFonts w:ascii="Book Antiqua" w:hAnsi="Book Antiqua"/>
          <w:color w:val="000000"/>
          <w:lang w:val="en-GB"/>
        </w:rPr>
        <w:t xml:space="preserve">, </w:t>
      </w:r>
      <w:r>
        <w:rPr>
          <w:rFonts w:ascii="Book Antiqua" w:hAnsi="Book Antiqua"/>
          <w:color w:val="000000"/>
          <w:lang w:val="en-GB"/>
        </w:rPr>
        <w:t xml:space="preserve">especially </w:t>
      </w:r>
      <w:proofErr w:type="spellStart"/>
      <w:r>
        <w:rPr>
          <w:rFonts w:ascii="Book Antiqua" w:hAnsi="Book Antiqua"/>
          <w:color w:val="000000"/>
          <w:lang w:val="en-GB"/>
        </w:rPr>
        <w:t>Birzeit</w:t>
      </w:r>
      <w:proofErr w:type="spellEnd"/>
      <w:r>
        <w:rPr>
          <w:rFonts w:ascii="Book Antiqua" w:hAnsi="Book Antiqua"/>
          <w:color w:val="000000"/>
          <w:lang w:val="en-GB"/>
        </w:rPr>
        <w:t xml:space="preserve">, which in our opinion, constitutes serious violations of international law. </w:t>
      </w:r>
      <w:proofErr w:type="spellStart"/>
      <w:r w:rsidRPr="00171338">
        <w:rPr>
          <w:rFonts w:ascii="Book Antiqua" w:hAnsi="Book Antiqua"/>
          <w:color w:val="000000"/>
        </w:rPr>
        <w:t>Birzeit</w:t>
      </w:r>
      <w:proofErr w:type="spellEnd"/>
      <w:r w:rsidRPr="00171338">
        <w:rPr>
          <w:rFonts w:ascii="Book Antiqua" w:hAnsi="Book Antiqua"/>
          <w:color w:val="000000"/>
        </w:rPr>
        <w:t xml:space="preserve"> </w:t>
      </w:r>
      <w:r>
        <w:rPr>
          <w:rFonts w:ascii="Book Antiqua" w:hAnsi="Book Antiqua"/>
          <w:color w:val="000000"/>
        </w:rPr>
        <w:t>and other Palestinian u</w:t>
      </w:r>
      <w:r w:rsidRPr="00171338">
        <w:rPr>
          <w:rFonts w:ascii="Book Antiqua" w:hAnsi="Book Antiqua"/>
          <w:color w:val="000000"/>
        </w:rPr>
        <w:t>niversity students, faculty and employees have suffered for decades under a relentless Israeli military campaign</w:t>
      </w:r>
      <w:r>
        <w:rPr>
          <w:rFonts w:ascii="Book Antiqua" w:hAnsi="Book Antiqua"/>
          <w:color w:val="000000"/>
        </w:rPr>
        <w:t>.</w:t>
      </w:r>
      <w:r w:rsidRPr="00171338">
        <w:rPr>
          <w:rFonts w:ascii="Book Antiqua" w:hAnsi="Book Antiqua"/>
          <w:color w:val="000000"/>
        </w:rPr>
        <w:t xml:space="preserve"> </w:t>
      </w:r>
      <w:r>
        <w:rPr>
          <w:rFonts w:ascii="Book Antiqua" w:hAnsi="Book Antiqua"/>
          <w:color w:val="000000"/>
          <w:lang w:val="en-GB"/>
        </w:rPr>
        <w:t xml:space="preserve">These abusive measures have </w:t>
      </w:r>
      <w:r w:rsidRPr="00171338">
        <w:rPr>
          <w:rFonts w:ascii="Book Antiqua" w:hAnsi="Book Antiqua"/>
          <w:color w:val="000000"/>
        </w:rPr>
        <w:t>include</w:t>
      </w:r>
      <w:r>
        <w:rPr>
          <w:rFonts w:ascii="Book Antiqua" w:hAnsi="Book Antiqua"/>
          <w:color w:val="000000"/>
        </w:rPr>
        <w:t>d</w:t>
      </w:r>
      <w:r w:rsidRPr="00171338">
        <w:rPr>
          <w:rFonts w:ascii="Book Antiqua" w:hAnsi="Book Antiqua"/>
          <w:color w:val="000000"/>
        </w:rPr>
        <w:t xml:space="preserve"> forced closures</w:t>
      </w:r>
      <w:r>
        <w:rPr>
          <w:rFonts w:ascii="Book Antiqua" w:hAnsi="Book Antiqua"/>
          <w:color w:val="000000"/>
        </w:rPr>
        <w:t>,</w:t>
      </w:r>
      <w:r w:rsidRPr="00171338">
        <w:rPr>
          <w:rFonts w:ascii="Book Antiqua" w:hAnsi="Book Antiqua"/>
          <w:color w:val="000000"/>
        </w:rPr>
        <w:t xml:space="preserve"> campus incursions, intimidation, and imprisonment. </w:t>
      </w:r>
      <w:r>
        <w:rPr>
          <w:rFonts w:ascii="Book Antiqua" w:hAnsi="Book Antiqua"/>
          <w:color w:val="000000"/>
        </w:rPr>
        <w:t>We believe s</w:t>
      </w:r>
      <w:r w:rsidRPr="00171338">
        <w:rPr>
          <w:rFonts w:ascii="Book Antiqua" w:hAnsi="Book Antiqua"/>
          <w:color w:val="000000"/>
        </w:rPr>
        <w:t>uch actions are raci</w:t>
      </w:r>
      <w:r>
        <w:rPr>
          <w:rFonts w:ascii="Book Antiqua" w:hAnsi="Book Antiqua"/>
          <w:color w:val="000000"/>
        </w:rPr>
        <w:t>ally motivated against the Palestinian people and designed to</w:t>
      </w:r>
      <w:r w:rsidRPr="00171338">
        <w:rPr>
          <w:rFonts w:ascii="Book Antiqua" w:hAnsi="Book Antiqua"/>
          <w:color w:val="000000"/>
        </w:rPr>
        <w:t xml:space="preserve"> den</w:t>
      </w:r>
      <w:r>
        <w:rPr>
          <w:rFonts w:ascii="Book Antiqua" w:hAnsi="Book Antiqua"/>
          <w:color w:val="000000"/>
        </w:rPr>
        <w:t>y</w:t>
      </w:r>
      <w:r w:rsidRPr="00171338">
        <w:rPr>
          <w:rFonts w:ascii="Book Antiqua" w:hAnsi="Book Antiqua"/>
          <w:color w:val="000000"/>
        </w:rPr>
        <w:t xml:space="preserve"> the</w:t>
      </w:r>
      <w:r>
        <w:rPr>
          <w:rFonts w:ascii="Book Antiqua" w:hAnsi="Book Antiqua"/>
          <w:color w:val="000000"/>
        </w:rPr>
        <w:t>m</w:t>
      </w:r>
      <w:r w:rsidRPr="00171338">
        <w:rPr>
          <w:rFonts w:ascii="Book Antiqua" w:hAnsi="Book Antiqua"/>
          <w:color w:val="000000"/>
        </w:rPr>
        <w:t xml:space="preserve"> their fundamental rights</w:t>
      </w:r>
      <w:r>
        <w:rPr>
          <w:rFonts w:ascii="Book Antiqua" w:hAnsi="Book Antiqua"/>
          <w:color w:val="000000"/>
        </w:rPr>
        <w:t xml:space="preserve"> and freedoms</w:t>
      </w:r>
      <w:r w:rsidRPr="00171338">
        <w:rPr>
          <w:rFonts w:ascii="Book Antiqua" w:hAnsi="Book Antiqua"/>
          <w:color w:val="000000"/>
        </w:rPr>
        <w:t xml:space="preserve">, including </w:t>
      </w:r>
      <w:r>
        <w:rPr>
          <w:rFonts w:ascii="Book Antiqua" w:hAnsi="Book Antiqua"/>
          <w:color w:val="000000"/>
        </w:rPr>
        <w:t>the right for</w:t>
      </w:r>
      <w:r w:rsidRPr="00171338">
        <w:rPr>
          <w:rFonts w:ascii="Book Antiqua" w:hAnsi="Book Antiqua"/>
          <w:color w:val="000000"/>
        </w:rPr>
        <w:t xml:space="preserve"> freedom of expression and scientific development. </w:t>
      </w:r>
    </w:p>
    <w:p w14:paraId="078A3775" w14:textId="77777777" w:rsidR="0059643B" w:rsidRPr="00171338" w:rsidRDefault="0059643B" w:rsidP="0059643B">
      <w:pPr>
        <w:pStyle w:val="NoSpacing"/>
        <w:jc w:val="both"/>
        <w:rPr>
          <w:rFonts w:ascii="Book Antiqua" w:hAnsi="Book Antiqua"/>
          <w:color w:val="000000"/>
          <w:lang w:val="en-GB"/>
        </w:rPr>
      </w:pPr>
    </w:p>
    <w:p w14:paraId="5C7E3149" w14:textId="77777777" w:rsidR="0059643B" w:rsidRDefault="0059643B" w:rsidP="0059643B">
      <w:pPr>
        <w:pStyle w:val="NoSpacing"/>
        <w:jc w:val="both"/>
        <w:rPr>
          <w:rFonts w:ascii="Book Antiqua" w:hAnsi="Book Antiqua"/>
          <w:color w:val="000000"/>
        </w:rPr>
      </w:pPr>
      <w:r>
        <w:rPr>
          <w:rFonts w:ascii="Book Antiqua" w:hAnsi="Book Antiqua"/>
          <w:color w:val="000000"/>
        </w:rPr>
        <w:t>We are of the conviction that the</w:t>
      </w:r>
      <w:r w:rsidRPr="00171338">
        <w:rPr>
          <w:rFonts w:ascii="Book Antiqua" w:hAnsi="Book Antiqua"/>
          <w:color w:val="000000"/>
        </w:rPr>
        <w:t xml:space="preserve"> </w:t>
      </w:r>
      <w:r>
        <w:rPr>
          <w:rFonts w:ascii="Book Antiqua" w:hAnsi="Book Antiqua"/>
          <w:color w:val="000000"/>
        </w:rPr>
        <w:t>new directive</w:t>
      </w:r>
      <w:r w:rsidRPr="00171338">
        <w:rPr>
          <w:rFonts w:ascii="Book Antiqua" w:hAnsi="Book Antiqua"/>
          <w:color w:val="000000"/>
        </w:rPr>
        <w:t xml:space="preserve"> </w:t>
      </w:r>
      <w:r w:rsidRPr="00171338">
        <w:rPr>
          <w:rFonts w:ascii="Book Antiqua" w:hAnsi="Book Antiqua"/>
          <w:color w:val="000000"/>
          <w:lang w:val="en-GB"/>
        </w:rPr>
        <w:t xml:space="preserve">will have </w:t>
      </w:r>
      <w:r>
        <w:rPr>
          <w:rFonts w:ascii="Book Antiqua" w:hAnsi="Book Antiqua"/>
          <w:color w:val="000000"/>
          <w:lang w:val="en-GB"/>
        </w:rPr>
        <w:t>a more adverse</w:t>
      </w:r>
      <w:r w:rsidRPr="00171338">
        <w:rPr>
          <w:rFonts w:ascii="Book Antiqua" w:hAnsi="Book Antiqua"/>
          <w:color w:val="000000"/>
          <w:lang w:val="en-GB"/>
        </w:rPr>
        <w:t xml:space="preserve"> effect</w:t>
      </w:r>
      <w:r>
        <w:rPr>
          <w:rFonts w:ascii="Book Antiqua" w:hAnsi="Book Antiqua"/>
          <w:color w:val="000000"/>
          <w:lang w:val="en-GB"/>
        </w:rPr>
        <w:t xml:space="preserve"> on </w:t>
      </w:r>
      <w:r w:rsidRPr="00171338">
        <w:rPr>
          <w:rFonts w:ascii="Book Antiqua" w:hAnsi="Book Antiqua"/>
          <w:color w:val="000000"/>
        </w:rPr>
        <w:t xml:space="preserve">Palestinian </w:t>
      </w:r>
      <w:proofErr w:type="gramStart"/>
      <w:r w:rsidRPr="00171338">
        <w:rPr>
          <w:rFonts w:ascii="Book Antiqua" w:hAnsi="Book Antiqua"/>
          <w:color w:val="000000"/>
        </w:rPr>
        <w:t>universities</w:t>
      </w:r>
      <w:r>
        <w:rPr>
          <w:rFonts w:ascii="Book Antiqua" w:hAnsi="Book Antiqua"/>
          <w:color w:val="000000"/>
        </w:rPr>
        <w:t xml:space="preserve">, </w:t>
      </w:r>
      <w:r>
        <w:rPr>
          <w:rFonts w:ascii="Book Antiqua" w:hAnsi="Book Antiqua"/>
          <w:color w:val="000000"/>
          <w:lang w:val="en-GB"/>
        </w:rPr>
        <w:t>if</w:t>
      </w:r>
      <w:proofErr w:type="gramEnd"/>
      <w:r w:rsidRPr="00171338">
        <w:rPr>
          <w:rFonts w:ascii="Book Antiqua" w:hAnsi="Book Antiqua"/>
          <w:color w:val="000000"/>
          <w:lang w:val="en-GB"/>
        </w:rPr>
        <w:t xml:space="preserve"> power </w:t>
      </w:r>
      <w:r>
        <w:rPr>
          <w:rFonts w:ascii="Book Antiqua" w:hAnsi="Book Antiqua"/>
          <w:color w:val="000000"/>
          <w:lang w:val="en-GB"/>
        </w:rPr>
        <w:t xml:space="preserve">is granted </w:t>
      </w:r>
      <w:r w:rsidRPr="00171338">
        <w:rPr>
          <w:rFonts w:ascii="Book Antiqua" w:hAnsi="Book Antiqua"/>
          <w:color w:val="000000"/>
          <w:lang w:val="en-GB"/>
        </w:rPr>
        <w:t>to the</w:t>
      </w:r>
      <w:r w:rsidRPr="00171338">
        <w:rPr>
          <w:rFonts w:ascii="Book Antiqua" w:hAnsi="Book Antiqua"/>
          <w:color w:val="000000"/>
        </w:rPr>
        <w:t xml:space="preserve"> Israeli military to </w:t>
      </w:r>
      <w:r>
        <w:rPr>
          <w:rFonts w:ascii="Book Antiqua" w:hAnsi="Book Antiqua"/>
          <w:color w:val="000000"/>
        </w:rPr>
        <w:t xml:space="preserve">implement this draconian policy. </w:t>
      </w:r>
    </w:p>
    <w:p w14:paraId="703596AE" w14:textId="77777777" w:rsidR="0059643B" w:rsidRDefault="0059643B" w:rsidP="0059643B">
      <w:pPr>
        <w:pStyle w:val="NoSpacing"/>
        <w:jc w:val="both"/>
        <w:rPr>
          <w:rFonts w:ascii="Book Antiqua" w:hAnsi="Book Antiqua"/>
          <w:color w:val="000000"/>
        </w:rPr>
      </w:pPr>
    </w:p>
    <w:p w14:paraId="52E29742" w14:textId="77777777" w:rsidR="0059643B" w:rsidRPr="00171338" w:rsidRDefault="0059643B" w:rsidP="0059643B">
      <w:pPr>
        <w:pStyle w:val="NoSpacing"/>
        <w:jc w:val="both"/>
        <w:rPr>
          <w:rFonts w:ascii="Book Antiqua" w:hAnsi="Book Antiqua"/>
        </w:rPr>
      </w:pPr>
      <w:r w:rsidRPr="00171338">
        <w:rPr>
          <w:rFonts w:ascii="Book Antiqua" w:hAnsi="Book Antiqua"/>
        </w:rPr>
        <w:t>Such procedure</w:t>
      </w:r>
      <w:r>
        <w:rPr>
          <w:rFonts w:ascii="Book Antiqua" w:hAnsi="Book Antiqua"/>
        </w:rPr>
        <w:t>s</w:t>
      </w:r>
      <w:r w:rsidRPr="00171338">
        <w:rPr>
          <w:rFonts w:ascii="Book Antiqua" w:hAnsi="Book Antiqua"/>
        </w:rPr>
        <w:t xml:space="preserve"> </w:t>
      </w:r>
      <w:r>
        <w:rPr>
          <w:rFonts w:ascii="Book Antiqua" w:hAnsi="Book Antiqua"/>
        </w:rPr>
        <w:t xml:space="preserve">will further strangle higher education which is already suffering from the existing policies. It will disempower Palestinian universities from </w:t>
      </w:r>
      <w:r w:rsidRPr="00171338">
        <w:rPr>
          <w:rFonts w:ascii="Book Antiqua" w:hAnsi="Book Antiqua"/>
        </w:rPr>
        <w:t>d</w:t>
      </w:r>
      <w:r>
        <w:rPr>
          <w:rFonts w:ascii="Book Antiqua" w:hAnsi="Book Antiqua"/>
        </w:rPr>
        <w:t>esigning</w:t>
      </w:r>
      <w:r w:rsidRPr="00171338">
        <w:rPr>
          <w:rFonts w:ascii="Book Antiqua" w:hAnsi="Book Antiqua"/>
        </w:rPr>
        <w:t xml:space="preserve"> quality education</w:t>
      </w:r>
      <w:r>
        <w:rPr>
          <w:rFonts w:ascii="Book Antiqua" w:hAnsi="Book Antiqua"/>
        </w:rPr>
        <w:t xml:space="preserve">al </w:t>
      </w:r>
      <w:proofErr w:type="spellStart"/>
      <w:r>
        <w:rPr>
          <w:rFonts w:ascii="Book Antiqua" w:hAnsi="Book Antiqua"/>
        </w:rPr>
        <w:t>programmes</w:t>
      </w:r>
      <w:proofErr w:type="spellEnd"/>
      <w:r>
        <w:rPr>
          <w:rFonts w:ascii="Book Antiqua" w:hAnsi="Book Antiqua"/>
        </w:rPr>
        <w:t xml:space="preserve"> that will contribute to </w:t>
      </w:r>
      <w:r w:rsidRPr="00171338">
        <w:rPr>
          <w:rFonts w:ascii="Book Antiqua" w:hAnsi="Book Antiqua"/>
        </w:rPr>
        <w:t>the soci</w:t>
      </w:r>
      <w:r>
        <w:rPr>
          <w:rFonts w:ascii="Book Antiqua" w:hAnsi="Book Antiqua"/>
        </w:rPr>
        <w:t>o-</w:t>
      </w:r>
      <w:r w:rsidRPr="00171338">
        <w:rPr>
          <w:rFonts w:ascii="Book Antiqua" w:hAnsi="Book Antiqua"/>
        </w:rPr>
        <w:t xml:space="preserve">economic and cultural </w:t>
      </w:r>
      <w:r>
        <w:rPr>
          <w:rFonts w:ascii="Book Antiqua" w:hAnsi="Book Antiqua"/>
        </w:rPr>
        <w:t>development</w:t>
      </w:r>
      <w:r w:rsidRPr="00171338">
        <w:rPr>
          <w:rFonts w:ascii="Book Antiqua" w:hAnsi="Book Antiqua"/>
        </w:rPr>
        <w:t xml:space="preserve"> of the Palestinian society</w:t>
      </w:r>
      <w:r>
        <w:rPr>
          <w:rFonts w:ascii="Book Antiqua" w:hAnsi="Book Antiqua"/>
        </w:rPr>
        <w:t>.</w:t>
      </w:r>
      <w:r w:rsidRPr="00171338">
        <w:rPr>
          <w:rFonts w:ascii="Book Antiqua" w:hAnsi="Book Antiqua"/>
        </w:rPr>
        <w:t xml:space="preserve"> </w:t>
      </w:r>
    </w:p>
    <w:p w14:paraId="59D1972A" w14:textId="77777777" w:rsidR="0059643B" w:rsidRDefault="0059643B" w:rsidP="0059643B">
      <w:pPr>
        <w:pStyle w:val="NoSpacing"/>
        <w:jc w:val="both"/>
        <w:rPr>
          <w:rFonts w:ascii="Book Antiqua" w:hAnsi="Book Antiqua"/>
          <w:color w:val="000000"/>
        </w:rPr>
      </w:pPr>
    </w:p>
    <w:p w14:paraId="58A11E71" w14:textId="77777777" w:rsidR="0059643B" w:rsidRPr="00171338" w:rsidRDefault="0059643B" w:rsidP="0059643B">
      <w:pPr>
        <w:pStyle w:val="NoSpacing"/>
        <w:jc w:val="both"/>
        <w:rPr>
          <w:rFonts w:ascii="Book Antiqua" w:hAnsi="Book Antiqua"/>
          <w:color w:val="000000"/>
          <w:lang w:val="en-GB"/>
        </w:rPr>
      </w:pPr>
      <w:r>
        <w:rPr>
          <w:rFonts w:ascii="Book Antiqua" w:hAnsi="Book Antiqua" w:cs="Times New Roman"/>
          <w:lang w:val="en-GB"/>
        </w:rPr>
        <w:t xml:space="preserve">The </w:t>
      </w:r>
      <w:r w:rsidRPr="00171338">
        <w:rPr>
          <w:rFonts w:ascii="Book Antiqua" w:hAnsi="Book Antiqua" w:cs="Times New Roman"/>
          <w:lang w:val="en-GB"/>
        </w:rPr>
        <w:t>T.B.</w:t>
      </w:r>
      <w:r>
        <w:rPr>
          <w:rFonts w:ascii="Book Antiqua" w:hAnsi="Book Antiqua" w:cs="Times New Roman"/>
          <w:lang w:val="en-GB"/>
        </w:rPr>
        <w:t xml:space="preserve"> </w:t>
      </w:r>
      <w:r w:rsidRPr="00171338">
        <w:rPr>
          <w:rFonts w:ascii="Book Antiqua" w:hAnsi="Book Antiqua" w:cs="Times New Roman"/>
          <w:lang w:val="en-GB"/>
        </w:rPr>
        <w:t xml:space="preserve">Davie formula </w:t>
      </w:r>
      <w:r>
        <w:rPr>
          <w:rFonts w:ascii="Book Antiqua" w:hAnsi="Book Antiqua" w:cs="Times New Roman"/>
          <w:lang w:val="en-GB"/>
        </w:rPr>
        <w:t>of a</w:t>
      </w:r>
      <w:r w:rsidRPr="00171338">
        <w:rPr>
          <w:rFonts w:ascii="Book Antiqua" w:hAnsi="Book Antiqua"/>
          <w:color w:val="000000"/>
          <w:lang w:val="en-GB"/>
        </w:rPr>
        <w:t xml:space="preserve">cademic freedom </w:t>
      </w:r>
      <w:r>
        <w:rPr>
          <w:rFonts w:ascii="Book Antiqua" w:hAnsi="Book Antiqua"/>
          <w:color w:val="000000"/>
          <w:lang w:val="en-GB"/>
        </w:rPr>
        <w:t xml:space="preserve">postulated to counter interference by the then apartheid regime in South Africa against higher education institutions in the country </w:t>
      </w:r>
      <w:r w:rsidRPr="00171338">
        <w:rPr>
          <w:rFonts w:ascii="Book Antiqua" w:hAnsi="Book Antiqua"/>
          <w:color w:val="000000"/>
          <w:lang w:val="en-GB"/>
        </w:rPr>
        <w:t xml:space="preserve">grants each higher education institution </w:t>
      </w:r>
      <w:r>
        <w:rPr>
          <w:rFonts w:ascii="Book Antiqua" w:hAnsi="Book Antiqua" w:cs="Times New Roman"/>
          <w:lang w:val="en-GB"/>
        </w:rPr>
        <w:t>the</w:t>
      </w:r>
      <w:r w:rsidRPr="00171338">
        <w:rPr>
          <w:rFonts w:ascii="Book Antiqua" w:hAnsi="Book Antiqua" w:cs="Times New Roman"/>
          <w:lang w:val="en-GB"/>
        </w:rPr>
        <w:t xml:space="preserve"> freedom </w:t>
      </w:r>
      <w:r>
        <w:rPr>
          <w:rFonts w:ascii="Book Antiqua" w:hAnsi="Book Antiqua" w:cs="Times New Roman"/>
          <w:lang w:val="en-GB"/>
        </w:rPr>
        <w:t>“</w:t>
      </w:r>
      <w:r w:rsidRPr="00171338">
        <w:rPr>
          <w:rFonts w:ascii="Book Antiqua" w:hAnsi="Book Antiqua" w:cs="Times New Roman"/>
          <w:lang w:val="en-GB"/>
        </w:rPr>
        <w:t>from external</w:t>
      </w:r>
      <w:r>
        <w:rPr>
          <w:rFonts w:ascii="Book Antiqua" w:hAnsi="Book Antiqua" w:cs="Times New Roman"/>
          <w:lang w:val="en-GB"/>
        </w:rPr>
        <w:t xml:space="preserve"> </w:t>
      </w:r>
      <w:r w:rsidRPr="00171338">
        <w:rPr>
          <w:rFonts w:ascii="Book Antiqua" w:hAnsi="Book Antiqua" w:cs="Times New Roman"/>
          <w:lang w:val="en-GB"/>
        </w:rPr>
        <w:t>interference in (a) who shall teach, (b) what we teach, (c) how we teach, and (d)</w:t>
      </w:r>
      <w:r>
        <w:rPr>
          <w:rFonts w:ascii="Book Antiqua" w:hAnsi="Book Antiqua" w:cs="Times New Roman"/>
          <w:lang w:val="en-GB"/>
        </w:rPr>
        <w:t xml:space="preserve"> </w:t>
      </w:r>
      <w:r w:rsidRPr="00171338">
        <w:rPr>
          <w:rFonts w:ascii="Book Antiqua" w:hAnsi="Book Antiqua" w:cs="Times New Roman"/>
          <w:lang w:val="en-GB"/>
        </w:rPr>
        <w:t>whom we teach”)</w:t>
      </w:r>
      <w:r>
        <w:rPr>
          <w:rFonts w:ascii="Book Antiqua" w:hAnsi="Book Antiqua" w:cs="Times New Roman"/>
          <w:lang w:val="en-GB"/>
        </w:rPr>
        <w:t xml:space="preserve">. </w:t>
      </w:r>
    </w:p>
    <w:p w14:paraId="3819BC61" w14:textId="77777777" w:rsidR="0059643B" w:rsidRPr="00171338" w:rsidRDefault="0059643B" w:rsidP="0059643B">
      <w:pPr>
        <w:pStyle w:val="NoSpacing"/>
        <w:jc w:val="both"/>
        <w:rPr>
          <w:rFonts w:ascii="Book Antiqua" w:hAnsi="Book Antiqua"/>
          <w:color w:val="000000"/>
        </w:rPr>
      </w:pPr>
    </w:p>
    <w:p w14:paraId="4E5C9B39" w14:textId="77777777" w:rsidR="0059643B" w:rsidRPr="00D67082" w:rsidRDefault="0059643B" w:rsidP="0059643B">
      <w:pPr>
        <w:pStyle w:val="NoSpacing"/>
        <w:jc w:val="both"/>
        <w:rPr>
          <w:rFonts w:ascii="Book Antiqua" w:hAnsi="Book Antiqua"/>
        </w:rPr>
      </w:pPr>
      <w:r w:rsidRPr="00D67082">
        <w:rPr>
          <w:rFonts w:ascii="Book Antiqua" w:hAnsi="Book Antiqua"/>
        </w:rPr>
        <w:t xml:space="preserve">The power invested in the Israeli military to determine, for example, which international faculty, academic researchers and students may be allowed to visit Palestinian universities to teach, conduct research and to learn constitutes gross violation of </w:t>
      </w:r>
      <w:r>
        <w:rPr>
          <w:rFonts w:ascii="Book Antiqua" w:hAnsi="Book Antiqua"/>
        </w:rPr>
        <w:t xml:space="preserve">this principle and, more importantly, of </w:t>
      </w:r>
      <w:r w:rsidRPr="00D67082">
        <w:rPr>
          <w:rFonts w:ascii="Book Antiqua" w:hAnsi="Book Antiqua"/>
        </w:rPr>
        <w:t xml:space="preserve">international law, including the 1997 </w:t>
      </w:r>
      <w:r w:rsidRPr="00103362">
        <w:rPr>
          <w:rFonts w:ascii="Book Antiqua" w:hAnsi="Book Antiqua"/>
          <w:i/>
          <w:iCs/>
        </w:rPr>
        <w:t>UNESCO Recommendation on the Status Higher Education Personnel</w:t>
      </w:r>
      <w:r w:rsidRPr="00D67082">
        <w:rPr>
          <w:rFonts w:ascii="Book Antiqua" w:hAnsi="Book Antiqua"/>
        </w:rPr>
        <w:t xml:space="preserve">, the 1960 </w:t>
      </w:r>
      <w:r w:rsidRPr="00103362">
        <w:rPr>
          <w:rFonts w:ascii="Book Antiqua" w:hAnsi="Book Antiqua"/>
          <w:i/>
          <w:iCs/>
        </w:rPr>
        <w:t>UNESCO Convention against Discrimination in Education</w:t>
      </w:r>
      <w:r w:rsidRPr="00D67082">
        <w:rPr>
          <w:rFonts w:ascii="Book Antiqua" w:hAnsi="Book Antiqua"/>
        </w:rPr>
        <w:t xml:space="preserve"> and the 1974 </w:t>
      </w:r>
      <w:r w:rsidRPr="00103362">
        <w:rPr>
          <w:rFonts w:ascii="Book Antiqua" w:hAnsi="Book Antiqua"/>
          <w:i/>
          <w:iCs/>
        </w:rPr>
        <w:t>Recommendation concerning Education for International Understanding, Co-operation and Peace and Education relating to Human Rights and Fundamental Freedoms</w:t>
      </w:r>
      <w:r w:rsidRPr="00D67082">
        <w:rPr>
          <w:rFonts w:ascii="Book Antiqua" w:hAnsi="Book Antiqua"/>
        </w:rPr>
        <w:t xml:space="preserve">, the right to education enshrined in </w:t>
      </w:r>
      <w:r>
        <w:rPr>
          <w:rFonts w:ascii="Book Antiqua" w:hAnsi="Book Antiqua"/>
        </w:rPr>
        <w:t>a</w:t>
      </w:r>
      <w:r w:rsidRPr="00D67082">
        <w:rPr>
          <w:rFonts w:ascii="Book Antiqua" w:hAnsi="Book Antiqua"/>
        </w:rPr>
        <w:t xml:space="preserve">rticle 26 of the </w:t>
      </w:r>
      <w:r w:rsidRPr="00DA2BC5">
        <w:rPr>
          <w:rFonts w:ascii="Book Antiqua" w:hAnsi="Book Antiqua"/>
          <w:i/>
          <w:iCs/>
        </w:rPr>
        <w:t>Universal Declaration of Human Rights</w:t>
      </w:r>
      <w:r w:rsidRPr="00D67082">
        <w:rPr>
          <w:rFonts w:ascii="Book Antiqua" w:hAnsi="Book Antiqua"/>
        </w:rPr>
        <w:t xml:space="preserve"> (1948) and </w:t>
      </w:r>
      <w:r>
        <w:rPr>
          <w:rFonts w:ascii="Book Antiqua" w:hAnsi="Book Antiqua"/>
        </w:rPr>
        <w:t>a</w:t>
      </w:r>
      <w:r w:rsidRPr="00D67082">
        <w:rPr>
          <w:rFonts w:ascii="Book Antiqua" w:hAnsi="Book Antiqua"/>
        </w:rPr>
        <w:t xml:space="preserve">rticle 13 of the </w:t>
      </w:r>
      <w:r w:rsidRPr="00DA2BC5">
        <w:rPr>
          <w:rFonts w:ascii="Book Antiqua" w:hAnsi="Book Antiqua"/>
          <w:i/>
          <w:iCs/>
        </w:rPr>
        <w:t>International Covenant on Economic, Social, and Cultural Rights</w:t>
      </w:r>
      <w:r w:rsidRPr="00D67082">
        <w:rPr>
          <w:rFonts w:ascii="Book Antiqua" w:hAnsi="Book Antiqua"/>
        </w:rPr>
        <w:t xml:space="preserve"> (1966). </w:t>
      </w:r>
      <w:r>
        <w:rPr>
          <w:rFonts w:ascii="Book Antiqua" w:hAnsi="Book Antiqua"/>
        </w:rPr>
        <w:t xml:space="preserve">Promoting academic freedom and the right to education will ultimately lead to the inculcation of principles of justice, peace, </w:t>
      </w:r>
      <w:proofErr w:type="gramStart"/>
      <w:r>
        <w:rPr>
          <w:rFonts w:ascii="Book Antiqua" w:hAnsi="Book Antiqua"/>
        </w:rPr>
        <w:t>democracy</w:t>
      </w:r>
      <w:proofErr w:type="gramEnd"/>
      <w:r>
        <w:rPr>
          <w:rFonts w:ascii="Book Antiqua" w:hAnsi="Book Antiqua"/>
        </w:rPr>
        <w:t xml:space="preserve"> and human rights</w:t>
      </w:r>
    </w:p>
    <w:p w14:paraId="51BBA635" w14:textId="77777777" w:rsidR="0059643B" w:rsidRDefault="0059643B" w:rsidP="0059643B">
      <w:pPr>
        <w:pStyle w:val="NoSpacing"/>
        <w:jc w:val="both"/>
        <w:rPr>
          <w:rFonts w:ascii="Book Antiqua" w:hAnsi="Book Antiqua"/>
          <w:color w:val="000000"/>
        </w:rPr>
      </w:pPr>
    </w:p>
    <w:p w14:paraId="26E42A8E" w14:textId="77777777" w:rsidR="0059643B" w:rsidRPr="00171338" w:rsidRDefault="0059643B" w:rsidP="0059643B">
      <w:pPr>
        <w:pStyle w:val="NoSpacing"/>
        <w:jc w:val="both"/>
        <w:rPr>
          <w:rFonts w:ascii="Book Antiqua" w:hAnsi="Book Antiqua" w:cs="Times New Roman"/>
          <w:lang w:val="en-GB"/>
        </w:rPr>
      </w:pPr>
      <w:r>
        <w:rPr>
          <w:rFonts w:ascii="Book Antiqua" w:hAnsi="Book Antiqua"/>
          <w:color w:val="000000"/>
          <w:lang w:val="en-GB"/>
        </w:rPr>
        <w:t>The coming into effect of this law will obviously affect i</w:t>
      </w:r>
      <w:r w:rsidRPr="00171338">
        <w:rPr>
          <w:rFonts w:ascii="Book Antiqua" w:hAnsi="Book Antiqua"/>
          <w:color w:val="000000"/>
          <w:lang w:val="en-GB"/>
        </w:rPr>
        <w:t>nternationalisation, student and academic staff mobility and exchange programmes</w:t>
      </w:r>
      <w:r>
        <w:rPr>
          <w:rFonts w:ascii="Book Antiqua" w:hAnsi="Book Antiqua"/>
          <w:color w:val="000000"/>
          <w:lang w:val="en-GB"/>
        </w:rPr>
        <w:t>, which are critical for higher education institutions everywhere to survive</w:t>
      </w:r>
      <w:r w:rsidRPr="00171338">
        <w:rPr>
          <w:rFonts w:ascii="Book Antiqua" w:hAnsi="Book Antiqua"/>
          <w:color w:val="000000"/>
          <w:lang w:val="en-GB"/>
        </w:rPr>
        <w:t xml:space="preserve">. </w:t>
      </w:r>
    </w:p>
    <w:p w14:paraId="1A414143" w14:textId="77777777" w:rsidR="0059643B" w:rsidRDefault="0059643B" w:rsidP="0059643B">
      <w:pPr>
        <w:pStyle w:val="NoSpacing"/>
        <w:jc w:val="both"/>
        <w:rPr>
          <w:rFonts w:ascii="Book Antiqua" w:hAnsi="Book Antiqua" w:cs="Times New Roman"/>
          <w:lang w:val="en-GB"/>
        </w:rPr>
      </w:pPr>
    </w:p>
    <w:p w14:paraId="5471593E" w14:textId="77777777" w:rsidR="0059643B" w:rsidRDefault="0059643B" w:rsidP="0059643B">
      <w:pPr>
        <w:pStyle w:val="NoSpacing"/>
        <w:jc w:val="both"/>
        <w:rPr>
          <w:rFonts w:ascii="Book Antiqua" w:hAnsi="Book Antiqua"/>
        </w:rPr>
      </w:pPr>
      <w:r>
        <w:rPr>
          <w:rFonts w:ascii="Book Antiqua" w:hAnsi="Book Antiqua"/>
        </w:rPr>
        <w:t xml:space="preserve">We are aware that every pillar of academic freedom goes in tandem with duties, </w:t>
      </w:r>
      <w:proofErr w:type="gramStart"/>
      <w:r>
        <w:rPr>
          <w:rFonts w:ascii="Book Antiqua" w:hAnsi="Book Antiqua"/>
        </w:rPr>
        <w:t>limitations</w:t>
      </w:r>
      <w:proofErr w:type="gramEnd"/>
      <w:r>
        <w:rPr>
          <w:rFonts w:ascii="Book Antiqua" w:hAnsi="Book Antiqua"/>
        </w:rPr>
        <w:t xml:space="preserve"> and s</w:t>
      </w:r>
      <w:r w:rsidRPr="00171338">
        <w:rPr>
          <w:rFonts w:ascii="Book Antiqua" w:hAnsi="Book Antiqua"/>
        </w:rPr>
        <w:t>ocial responsibilit</w:t>
      </w:r>
      <w:r>
        <w:rPr>
          <w:rFonts w:ascii="Book Antiqua" w:hAnsi="Book Antiqua"/>
        </w:rPr>
        <w:t>ies. They are n</w:t>
      </w:r>
      <w:r w:rsidRPr="00171338">
        <w:rPr>
          <w:rFonts w:ascii="Book Antiqua" w:hAnsi="Book Antiqua"/>
        </w:rPr>
        <w:t xml:space="preserve">ot </w:t>
      </w:r>
      <w:r w:rsidRPr="00932836">
        <w:rPr>
          <w:rFonts w:ascii="Book Antiqua" w:hAnsi="Book Antiqua"/>
          <w:i/>
          <w:iCs/>
        </w:rPr>
        <w:t>carte blanche</w:t>
      </w:r>
      <w:r w:rsidRPr="00171338">
        <w:rPr>
          <w:rFonts w:ascii="Book Antiqua" w:hAnsi="Book Antiqua"/>
        </w:rPr>
        <w:t xml:space="preserve"> </w:t>
      </w:r>
      <w:r>
        <w:rPr>
          <w:rFonts w:ascii="Book Antiqua" w:hAnsi="Book Antiqua"/>
        </w:rPr>
        <w:t xml:space="preserve">and Palestinian universities, like all higher education institutions, </w:t>
      </w:r>
      <w:proofErr w:type="gramStart"/>
      <w:r>
        <w:rPr>
          <w:rFonts w:ascii="Book Antiqua" w:hAnsi="Book Antiqua"/>
        </w:rPr>
        <w:t>academics</w:t>
      </w:r>
      <w:proofErr w:type="gramEnd"/>
      <w:r>
        <w:rPr>
          <w:rFonts w:ascii="Book Antiqua" w:hAnsi="Book Antiqua"/>
        </w:rPr>
        <w:t xml:space="preserve"> and students, understand that. If the Israeli authorities feel that there have been serious violations of the law by Palestinian universities, we invite the Israeli authorities to resort to the available legal processes and mechanisms. We express our strongest objection to these repressive measures introduced to stifle freedom, the right to self-determination and democracy of the Palestinian people. </w:t>
      </w:r>
    </w:p>
    <w:p w14:paraId="1B797851" w14:textId="77777777" w:rsidR="0059643B" w:rsidRDefault="0059643B" w:rsidP="0059643B">
      <w:pPr>
        <w:pStyle w:val="NoSpacing"/>
        <w:jc w:val="both"/>
        <w:rPr>
          <w:rFonts w:ascii="Book Antiqua" w:hAnsi="Book Antiqua"/>
        </w:rPr>
      </w:pPr>
    </w:p>
    <w:p w14:paraId="1E097845" w14:textId="77777777" w:rsidR="0059643B" w:rsidRDefault="0059643B" w:rsidP="0059643B">
      <w:pPr>
        <w:pStyle w:val="NoSpacing"/>
        <w:jc w:val="both"/>
        <w:rPr>
          <w:rFonts w:ascii="Book Antiqua" w:hAnsi="Book Antiqua"/>
        </w:rPr>
      </w:pPr>
      <w:r>
        <w:rPr>
          <w:rFonts w:ascii="Book Antiqua" w:hAnsi="Book Antiqua"/>
        </w:rPr>
        <w:t>It is, therefore, our request that the directive be abandoned.</w:t>
      </w:r>
    </w:p>
    <w:p w14:paraId="6C57B56C" w14:textId="77777777" w:rsidR="0059643B" w:rsidRDefault="0059643B" w:rsidP="0059643B">
      <w:pPr>
        <w:pStyle w:val="NoSpacing"/>
        <w:jc w:val="both"/>
        <w:rPr>
          <w:rFonts w:ascii="Book Antiqua" w:hAnsi="Book Antiqua"/>
        </w:rPr>
      </w:pPr>
    </w:p>
    <w:p w14:paraId="7BD7DF93" w14:textId="77777777" w:rsidR="0059643B" w:rsidRPr="00171338" w:rsidRDefault="0059643B" w:rsidP="0059643B">
      <w:pPr>
        <w:pStyle w:val="NoSpacing"/>
        <w:jc w:val="both"/>
        <w:rPr>
          <w:rFonts w:ascii="Book Antiqua" w:hAnsi="Book Antiqua"/>
        </w:rPr>
      </w:pPr>
      <w:r w:rsidRPr="00B879C8">
        <w:rPr>
          <w:rFonts w:ascii="Book Antiqua" w:hAnsi="Book Antiqua"/>
        </w:rPr>
        <w:t>Yours truly,</w:t>
      </w:r>
    </w:p>
    <w:p w14:paraId="23A9079C" w14:textId="77777777" w:rsidR="0059643B" w:rsidRPr="00946B42" w:rsidRDefault="0059643B" w:rsidP="0059643B">
      <w:pPr>
        <w:pStyle w:val="NoSpacing"/>
        <w:rPr>
          <w:rFonts w:ascii="Gill Sans MT" w:hAnsi="Gill Sans MT"/>
        </w:rPr>
      </w:pPr>
      <w:r w:rsidRPr="00946B42">
        <w:rPr>
          <w:rFonts w:ascii="Gill Sans MT" w:hAnsi="Gill Sans MT" w:cs="Arial"/>
          <w:noProof/>
          <w:shd w:val="clear" w:color="auto" w:fill="FFFFFF"/>
        </w:rPr>
        <w:drawing>
          <wp:inline distT="0" distB="0" distL="0" distR="0" wp14:anchorId="04DE6A69" wp14:editId="63A4FDAF">
            <wp:extent cx="1858645" cy="635214"/>
            <wp:effectExtent l="0" t="0" r="0" b="0"/>
            <wp:docPr id="3" name="Picture 3" descr="C:\Users\Owner\Documents\My Scans\2009-11 (Nov)\signatur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cuments\My Scans\2009-11 (Nov)\signature ne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2453" cy="636515"/>
                    </a:xfrm>
                    <a:prstGeom prst="rect">
                      <a:avLst/>
                    </a:prstGeom>
                    <a:noFill/>
                    <a:ln>
                      <a:noFill/>
                    </a:ln>
                  </pic:spPr>
                </pic:pic>
              </a:graphicData>
            </a:graphic>
          </wp:inline>
        </w:drawing>
      </w:r>
    </w:p>
    <w:p w14:paraId="2695B33B" w14:textId="77777777" w:rsidR="0059643B" w:rsidRPr="003A2D39" w:rsidRDefault="0059643B" w:rsidP="0059643B">
      <w:pPr>
        <w:pStyle w:val="NoSpacing"/>
        <w:rPr>
          <w:rFonts w:ascii="Book Antiqua" w:hAnsi="Book Antiqua"/>
        </w:rPr>
      </w:pPr>
      <w:r w:rsidRPr="003A2D39">
        <w:rPr>
          <w:rFonts w:ascii="Book Antiqua" w:hAnsi="Book Antiqua"/>
        </w:rPr>
        <w:t>Professor Kwadwo Appiagyei-Atua</w:t>
      </w:r>
    </w:p>
    <w:p w14:paraId="5809A3D1" w14:textId="77777777" w:rsidR="0059643B" w:rsidRPr="002113F8" w:rsidRDefault="0059643B" w:rsidP="0059643B">
      <w:pPr>
        <w:rPr>
          <w:rFonts w:ascii="Book Antiqua" w:hAnsi="Book Antiqua"/>
        </w:rPr>
      </w:pPr>
      <w:r w:rsidRPr="002113F8">
        <w:rPr>
          <w:rFonts w:ascii="Book Antiqua" w:hAnsi="Book Antiqua"/>
        </w:rPr>
        <w:t xml:space="preserve">(Signed on behalf of concerned academics and friends of </w:t>
      </w:r>
      <w:proofErr w:type="spellStart"/>
      <w:r w:rsidRPr="002113F8">
        <w:rPr>
          <w:rFonts w:ascii="Book Antiqua" w:hAnsi="Book Antiqua"/>
        </w:rPr>
        <w:t>Birzeit</w:t>
      </w:r>
      <w:proofErr w:type="spellEnd"/>
      <w:r w:rsidRPr="002113F8">
        <w:rPr>
          <w:rFonts w:ascii="Book Antiqua" w:hAnsi="Book Antiqua"/>
        </w:rPr>
        <w:t>)</w:t>
      </w:r>
    </w:p>
    <w:p w14:paraId="4AAB1D43" w14:textId="77777777" w:rsidR="00EA7DD9" w:rsidRPr="0059643B" w:rsidRDefault="00EA7DD9" w:rsidP="0059643B"/>
    <w:sectPr w:rsidR="00EA7DD9" w:rsidRPr="0059643B" w:rsidSect="00E12046">
      <w:headerReference w:type="even" r:id="rId5"/>
      <w:headerReference w:type="default" r:id="rId6"/>
      <w:footerReference w:type="even" r:id="rI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D0C3" w14:textId="77777777" w:rsidR="00390410" w:rsidRDefault="005B4AB5">
    <w:pPr>
      <w:pStyle w:val="Footer"/>
    </w:pPr>
    <w:r>
      <w:rPr>
        <w:noProof/>
      </w:rPr>
      <w:drawing>
        <wp:inline distT="0" distB="0" distL="0" distR="0" wp14:anchorId="19F82369" wp14:editId="5F734351">
          <wp:extent cx="5270500" cy="7607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70500" cy="76073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7148"/>
    </w:tblGrid>
    <w:tr w:rsidR="005C1FCB" w:rsidRPr="0088634D" w14:paraId="52359C5A" w14:textId="77777777" w:rsidTr="005C1FCB">
      <w:tc>
        <w:tcPr>
          <w:tcW w:w="1152" w:type="dxa"/>
        </w:tcPr>
        <w:p w14:paraId="4BA4FD9D" w14:textId="77777777" w:rsidR="005C1FCB" w:rsidRPr="0088634D" w:rsidRDefault="005B4AB5" w:rsidP="005C1FCB">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c>
        <w:tcPr>
          <w:tcW w:w="0" w:type="auto"/>
          <w:noWrap/>
        </w:tcPr>
        <w:p w14:paraId="13A23E1D" w14:textId="77777777" w:rsidR="005C1FCB" w:rsidRPr="0088634D" w:rsidRDefault="005B4AB5" w:rsidP="005C1FCB">
          <w:pPr>
            <w:pStyle w:val="Header"/>
            <w:rPr>
              <w:rFonts w:ascii="Cambria" w:hAnsi="Cambria"/>
            </w:rPr>
          </w:pPr>
        </w:p>
      </w:tc>
    </w:tr>
  </w:tbl>
  <w:p w14:paraId="6DBBFCEA" w14:textId="77777777" w:rsidR="005C1FCB" w:rsidRDefault="005B4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A9B8" w14:textId="77777777" w:rsidR="005C1FCB" w:rsidRDefault="005B4AB5" w:rsidP="00725AD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94"/>
    <w:rsid w:val="000234D2"/>
    <w:rsid w:val="0002523E"/>
    <w:rsid w:val="000360B0"/>
    <w:rsid w:val="00060097"/>
    <w:rsid w:val="00065FFE"/>
    <w:rsid w:val="000B692E"/>
    <w:rsid w:val="000F14FC"/>
    <w:rsid w:val="00111C10"/>
    <w:rsid w:val="00125B64"/>
    <w:rsid w:val="00132E3C"/>
    <w:rsid w:val="00171338"/>
    <w:rsid w:val="001C36EE"/>
    <w:rsid w:val="0021225B"/>
    <w:rsid w:val="00220B51"/>
    <w:rsid w:val="002410AD"/>
    <w:rsid w:val="00244C70"/>
    <w:rsid w:val="002C1497"/>
    <w:rsid w:val="002E497C"/>
    <w:rsid w:val="002F2518"/>
    <w:rsid w:val="00312421"/>
    <w:rsid w:val="00316A99"/>
    <w:rsid w:val="00317E9B"/>
    <w:rsid w:val="003A0897"/>
    <w:rsid w:val="003F2970"/>
    <w:rsid w:val="00411D63"/>
    <w:rsid w:val="00436CA6"/>
    <w:rsid w:val="00442CAC"/>
    <w:rsid w:val="004651C4"/>
    <w:rsid w:val="00484914"/>
    <w:rsid w:val="004C7DCB"/>
    <w:rsid w:val="004F2120"/>
    <w:rsid w:val="0059643B"/>
    <w:rsid w:val="005A3AD4"/>
    <w:rsid w:val="005A4535"/>
    <w:rsid w:val="005B2C3B"/>
    <w:rsid w:val="005E5417"/>
    <w:rsid w:val="0060584D"/>
    <w:rsid w:val="0062537C"/>
    <w:rsid w:val="006C189D"/>
    <w:rsid w:val="007477C5"/>
    <w:rsid w:val="0078747A"/>
    <w:rsid w:val="007E1091"/>
    <w:rsid w:val="007F26F3"/>
    <w:rsid w:val="00831763"/>
    <w:rsid w:val="008D3B21"/>
    <w:rsid w:val="00932836"/>
    <w:rsid w:val="00963A96"/>
    <w:rsid w:val="009768EB"/>
    <w:rsid w:val="009A7ACA"/>
    <w:rsid w:val="009D0FF4"/>
    <w:rsid w:val="00A06DB0"/>
    <w:rsid w:val="00A22E3B"/>
    <w:rsid w:val="00A24366"/>
    <w:rsid w:val="00A324C4"/>
    <w:rsid w:val="00AA4BC4"/>
    <w:rsid w:val="00B1329B"/>
    <w:rsid w:val="00B2275A"/>
    <w:rsid w:val="00B25BED"/>
    <w:rsid w:val="00B54C12"/>
    <w:rsid w:val="00B65ED5"/>
    <w:rsid w:val="00B879C8"/>
    <w:rsid w:val="00BC6A1C"/>
    <w:rsid w:val="00BD2216"/>
    <w:rsid w:val="00C023CA"/>
    <w:rsid w:val="00C277E7"/>
    <w:rsid w:val="00C6671D"/>
    <w:rsid w:val="00C732FB"/>
    <w:rsid w:val="00CA3420"/>
    <w:rsid w:val="00CC7DEF"/>
    <w:rsid w:val="00D44994"/>
    <w:rsid w:val="00D57135"/>
    <w:rsid w:val="00D638E6"/>
    <w:rsid w:val="00D661C4"/>
    <w:rsid w:val="00D67082"/>
    <w:rsid w:val="00DA373F"/>
    <w:rsid w:val="00E55095"/>
    <w:rsid w:val="00E71921"/>
    <w:rsid w:val="00E73B87"/>
    <w:rsid w:val="00EA7DD9"/>
    <w:rsid w:val="00ED4A0A"/>
    <w:rsid w:val="00F50D56"/>
    <w:rsid w:val="00F64E63"/>
    <w:rsid w:val="00F83840"/>
    <w:rsid w:val="00FD0BD7"/>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5D23"/>
  <w15:chartTrackingRefBased/>
  <w15:docId w15:val="{9B53B134-1942-3C4E-82FA-3C0E56C4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3B"/>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994"/>
    <w:pPr>
      <w:spacing w:before="100" w:beforeAutospacing="1" w:after="100" w:afterAutospacing="1"/>
    </w:pPr>
  </w:style>
  <w:style w:type="paragraph" w:customStyle="1" w:styleId="Default">
    <w:name w:val="Default"/>
    <w:rsid w:val="00FD0BD7"/>
    <w:pPr>
      <w:autoSpaceDE w:val="0"/>
      <w:autoSpaceDN w:val="0"/>
      <w:adjustRightInd w:val="0"/>
    </w:pPr>
    <w:rPr>
      <w:rFonts w:ascii="Calibri" w:hAnsi="Calibri" w:cs="Calibri"/>
      <w:color w:val="000000"/>
      <w:lang w:val="en-GB"/>
    </w:rPr>
  </w:style>
  <w:style w:type="paragraph" w:styleId="NoSpacing">
    <w:name w:val="No Spacing"/>
    <w:uiPriority w:val="1"/>
    <w:qFormat/>
    <w:rsid w:val="00171338"/>
    <w:rPr>
      <w:lang w:val="en-US"/>
    </w:rPr>
  </w:style>
  <w:style w:type="character" w:styleId="Hyperlink">
    <w:name w:val="Hyperlink"/>
    <w:basedOn w:val="DefaultParagraphFont"/>
    <w:uiPriority w:val="99"/>
    <w:semiHidden/>
    <w:unhideWhenUsed/>
    <w:rsid w:val="004C7DCB"/>
    <w:rPr>
      <w:color w:val="0000FF"/>
      <w:u w:val="single"/>
    </w:rPr>
  </w:style>
  <w:style w:type="character" w:customStyle="1" w:styleId="apple-converted-space">
    <w:name w:val="apple-converted-space"/>
    <w:basedOn w:val="DefaultParagraphFont"/>
    <w:rsid w:val="004C7DCB"/>
  </w:style>
  <w:style w:type="character" w:customStyle="1" w:styleId="Title1">
    <w:name w:val="Title1"/>
    <w:basedOn w:val="DefaultParagraphFont"/>
    <w:rsid w:val="002E497C"/>
  </w:style>
  <w:style w:type="character" w:customStyle="1" w:styleId="shortdesc">
    <w:name w:val="short_desc"/>
    <w:basedOn w:val="DefaultParagraphFont"/>
    <w:rsid w:val="002E497C"/>
  </w:style>
  <w:style w:type="character" w:styleId="CommentReference">
    <w:name w:val="annotation reference"/>
    <w:basedOn w:val="DefaultParagraphFont"/>
    <w:uiPriority w:val="99"/>
    <w:semiHidden/>
    <w:unhideWhenUsed/>
    <w:rsid w:val="00B1329B"/>
    <w:rPr>
      <w:sz w:val="16"/>
      <w:szCs w:val="16"/>
    </w:rPr>
  </w:style>
  <w:style w:type="paragraph" w:styleId="CommentText">
    <w:name w:val="annotation text"/>
    <w:basedOn w:val="Normal"/>
    <w:link w:val="CommentTextChar"/>
    <w:uiPriority w:val="99"/>
    <w:semiHidden/>
    <w:unhideWhenUsed/>
    <w:rsid w:val="00B1329B"/>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1329B"/>
    <w:rPr>
      <w:sz w:val="20"/>
      <w:szCs w:val="20"/>
      <w:lang w:val="en-US"/>
    </w:rPr>
  </w:style>
  <w:style w:type="paragraph" w:styleId="CommentSubject">
    <w:name w:val="annotation subject"/>
    <w:basedOn w:val="CommentText"/>
    <w:next w:val="CommentText"/>
    <w:link w:val="CommentSubjectChar"/>
    <w:uiPriority w:val="99"/>
    <w:semiHidden/>
    <w:unhideWhenUsed/>
    <w:rsid w:val="00B1329B"/>
    <w:rPr>
      <w:b/>
      <w:bCs/>
    </w:rPr>
  </w:style>
  <w:style w:type="character" w:customStyle="1" w:styleId="CommentSubjectChar">
    <w:name w:val="Comment Subject Char"/>
    <w:basedOn w:val="CommentTextChar"/>
    <w:link w:val="CommentSubject"/>
    <w:uiPriority w:val="99"/>
    <w:semiHidden/>
    <w:rsid w:val="00B1329B"/>
    <w:rPr>
      <w:b/>
      <w:bCs/>
      <w:sz w:val="20"/>
      <w:szCs w:val="20"/>
      <w:lang w:val="en-US"/>
    </w:rPr>
  </w:style>
  <w:style w:type="paragraph" w:styleId="Header">
    <w:name w:val="header"/>
    <w:basedOn w:val="Normal"/>
    <w:link w:val="HeaderChar"/>
    <w:uiPriority w:val="99"/>
    <w:unhideWhenUsed/>
    <w:rsid w:val="0059643B"/>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59643B"/>
    <w:rPr>
      <w:rFonts w:eastAsiaTheme="minorEastAsia"/>
      <w:lang w:val="en-US"/>
    </w:rPr>
  </w:style>
  <w:style w:type="paragraph" w:styleId="Footer">
    <w:name w:val="footer"/>
    <w:basedOn w:val="Normal"/>
    <w:link w:val="FooterChar"/>
    <w:uiPriority w:val="99"/>
    <w:unhideWhenUsed/>
    <w:rsid w:val="0059643B"/>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59643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55091">
      <w:bodyDiv w:val="1"/>
      <w:marLeft w:val="0"/>
      <w:marRight w:val="0"/>
      <w:marTop w:val="0"/>
      <w:marBottom w:val="0"/>
      <w:divBdr>
        <w:top w:val="none" w:sz="0" w:space="0" w:color="auto"/>
        <w:left w:val="none" w:sz="0" w:space="0" w:color="auto"/>
        <w:bottom w:val="none" w:sz="0" w:space="0" w:color="auto"/>
        <w:right w:val="none" w:sz="0" w:space="0" w:color="auto"/>
      </w:divBdr>
    </w:div>
    <w:div w:id="1667202189">
      <w:bodyDiv w:val="1"/>
      <w:marLeft w:val="0"/>
      <w:marRight w:val="0"/>
      <w:marTop w:val="0"/>
      <w:marBottom w:val="0"/>
      <w:divBdr>
        <w:top w:val="none" w:sz="0" w:space="0" w:color="auto"/>
        <w:left w:val="none" w:sz="0" w:space="0" w:color="auto"/>
        <w:bottom w:val="none" w:sz="0" w:space="0" w:color="auto"/>
        <w:right w:val="none" w:sz="0" w:space="0" w:color="auto"/>
      </w:divBdr>
    </w:div>
    <w:div w:id="18009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Kwadwo Appiagyei-Atua</dc:creator>
  <cp:keywords/>
  <dc:description/>
  <cp:lastModifiedBy>Kwadwo Appiagyei-Atua</cp:lastModifiedBy>
  <cp:revision>2</cp:revision>
  <dcterms:created xsi:type="dcterms:W3CDTF">2022-04-26T08:18:00Z</dcterms:created>
  <dcterms:modified xsi:type="dcterms:W3CDTF">2022-04-26T08:18:00Z</dcterms:modified>
</cp:coreProperties>
</file>