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AABB" w14:textId="77777777" w:rsidR="00F03BF1" w:rsidRPr="00A1260E" w:rsidRDefault="00F03BF1" w:rsidP="0067130F">
      <w:pPr>
        <w:jc w:val="center"/>
        <w:rPr>
          <w:rFonts w:asciiTheme="majorBidi" w:hAnsiTheme="majorBidi" w:cstheme="majorBidi"/>
          <w:sz w:val="36"/>
          <w:szCs w:val="36"/>
        </w:rPr>
      </w:pPr>
      <w:r w:rsidRPr="00A1260E">
        <w:rPr>
          <w:rFonts w:asciiTheme="majorBidi" w:hAnsiTheme="majorBidi" w:cstheme="majorBidi"/>
          <w:b/>
          <w:bCs/>
          <w:sz w:val="28"/>
          <w:szCs w:val="32"/>
        </w:rPr>
        <w:t>MUNIR FAKHER ELDIN</w:t>
      </w:r>
    </w:p>
    <w:p w14:paraId="23879855" w14:textId="77777777" w:rsidR="00F03BF1" w:rsidRPr="00A1260E" w:rsidRDefault="00F03BF1" w:rsidP="0067130F">
      <w:pPr>
        <w:jc w:val="center"/>
        <w:rPr>
          <w:rFonts w:asciiTheme="majorBidi" w:hAnsiTheme="majorBidi" w:cstheme="majorBidi"/>
        </w:rPr>
      </w:pPr>
      <w:r w:rsidRPr="00A1260E">
        <w:rPr>
          <w:rFonts w:asciiTheme="majorBidi" w:hAnsiTheme="majorBidi" w:cstheme="majorBidi"/>
          <w:color w:val="0000FF"/>
          <w:sz w:val="22"/>
          <w:szCs w:val="22"/>
        </w:rPr>
        <w:t>mfakhereldin@birzeit.edu</w:t>
      </w:r>
    </w:p>
    <w:p w14:paraId="2BB24D6D" w14:textId="21F5592D" w:rsidR="007105DF" w:rsidRPr="00A1260E" w:rsidRDefault="007105DF" w:rsidP="0067130F">
      <w:pPr>
        <w:jc w:val="center"/>
        <w:rPr>
          <w:rFonts w:asciiTheme="majorBidi" w:hAnsiTheme="majorBidi" w:cstheme="majorBidi"/>
          <w:sz w:val="22"/>
          <w:szCs w:val="22"/>
        </w:rPr>
      </w:pPr>
      <w:r w:rsidRPr="00A1260E">
        <w:rPr>
          <w:rFonts w:asciiTheme="majorBidi" w:hAnsiTheme="majorBidi" w:cstheme="majorBidi"/>
          <w:sz w:val="22"/>
          <w:szCs w:val="22"/>
        </w:rPr>
        <w:t>Cell phone: +972 (0)54-668-2691</w:t>
      </w:r>
    </w:p>
    <w:p w14:paraId="10E70E32" w14:textId="77777777" w:rsidR="000B07F5" w:rsidRPr="00A1260E" w:rsidRDefault="007105DF" w:rsidP="0067130F">
      <w:pPr>
        <w:jc w:val="center"/>
        <w:rPr>
          <w:rFonts w:asciiTheme="majorBidi" w:hAnsiTheme="majorBidi" w:cstheme="majorBidi"/>
          <w:sz w:val="22"/>
          <w:szCs w:val="22"/>
        </w:rPr>
      </w:pPr>
      <w:r w:rsidRPr="00A1260E">
        <w:rPr>
          <w:rFonts w:asciiTheme="majorBidi" w:hAnsiTheme="majorBidi" w:cstheme="majorBidi"/>
          <w:sz w:val="22"/>
          <w:szCs w:val="22"/>
        </w:rPr>
        <w:t>6 Ahmad al-Yamani St., apt. 1</w:t>
      </w:r>
    </w:p>
    <w:p w14:paraId="7CD89AEA" w14:textId="5B2AD91B" w:rsidR="00F53DC8" w:rsidRPr="00A1260E" w:rsidRDefault="007105DF" w:rsidP="0067130F">
      <w:pPr>
        <w:jc w:val="center"/>
        <w:rPr>
          <w:rFonts w:asciiTheme="majorBidi" w:hAnsiTheme="majorBidi" w:cstheme="majorBidi"/>
          <w:sz w:val="22"/>
          <w:szCs w:val="22"/>
        </w:rPr>
      </w:pPr>
      <w:r w:rsidRPr="00A1260E">
        <w:rPr>
          <w:rFonts w:asciiTheme="majorBidi" w:hAnsiTheme="majorBidi" w:cstheme="majorBidi"/>
          <w:sz w:val="22"/>
          <w:szCs w:val="22"/>
        </w:rPr>
        <w:t>Al-Rihan</w:t>
      </w:r>
      <w:r w:rsidR="000B07F5" w:rsidRPr="00A1260E">
        <w:rPr>
          <w:rFonts w:asciiTheme="majorBidi" w:hAnsiTheme="majorBidi" w:cstheme="majorBidi"/>
          <w:sz w:val="22"/>
          <w:szCs w:val="22"/>
        </w:rPr>
        <w:t>-</w:t>
      </w:r>
      <w:r w:rsidRPr="00A1260E">
        <w:rPr>
          <w:rFonts w:asciiTheme="majorBidi" w:hAnsiTheme="majorBidi" w:cstheme="majorBidi"/>
          <w:sz w:val="22"/>
          <w:szCs w:val="22"/>
        </w:rPr>
        <w:t>Ramallah</w:t>
      </w:r>
      <w:r w:rsidR="000B07F5" w:rsidRPr="00A1260E">
        <w:rPr>
          <w:rFonts w:asciiTheme="majorBidi" w:hAnsiTheme="majorBidi" w:cstheme="majorBidi"/>
          <w:sz w:val="22"/>
          <w:szCs w:val="22"/>
        </w:rPr>
        <w:t>, Palestine.</w:t>
      </w:r>
    </w:p>
    <w:p w14:paraId="25ADE7AC" w14:textId="77777777" w:rsidR="00342EA4" w:rsidRPr="00A1260E" w:rsidRDefault="00342EA4" w:rsidP="0067130F">
      <w:pPr>
        <w:jc w:val="center"/>
        <w:rPr>
          <w:rFonts w:asciiTheme="majorBidi" w:hAnsiTheme="majorBidi" w:cstheme="majorBidi"/>
          <w:b/>
          <w:bCs/>
          <w:color w:val="FFFFFF" w:themeColor="background1"/>
          <w:sz w:val="22"/>
          <w:szCs w:val="22"/>
          <w:highlight w:val="black"/>
        </w:rPr>
      </w:pPr>
    </w:p>
    <w:p w14:paraId="571131EB" w14:textId="77777777" w:rsidR="00A7620D" w:rsidRDefault="00A7620D" w:rsidP="0067130F">
      <w:pPr>
        <w:rPr>
          <w:rFonts w:asciiTheme="majorBidi" w:hAnsiTheme="majorBidi" w:cstheme="majorBidi"/>
          <w:b/>
          <w:bCs/>
          <w:color w:val="FFFFFF" w:themeColor="background1"/>
          <w:sz w:val="22"/>
          <w:szCs w:val="22"/>
          <w:highlight w:val="black"/>
          <w:lang w:val="en-US"/>
        </w:rPr>
      </w:pPr>
    </w:p>
    <w:p w14:paraId="06C085B7" w14:textId="5F461E88" w:rsidR="00BB54DB" w:rsidRPr="00624D64" w:rsidRDefault="00A1260E" w:rsidP="00624D64">
      <w:pPr>
        <w:rPr>
          <w:rFonts w:asciiTheme="majorBidi" w:hAnsiTheme="majorBidi" w:cstheme="majorBidi"/>
          <w:b/>
          <w:bCs/>
          <w:color w:val="FFFFFF" w:themeColor="background1"/>
          <w:sz w:val="22"/>
          <w:szCs w:val="22"/>
          <w:highlight w:val="black"/>
          <w:lang w:val="en-US"/>
        </w:rPr>
      </w:pPr>
      <w:r>
        <w:rPr>
          <w:rFonts w:asciiTheme="majorBidi" w:hAnsiTheme="majorBidi" w:cstheme="majorBidi"/>
          <w:b/>
          <w:bCs/>
          <w:color w:val="FFFFFF" w:themeColor="background1"/>
          <w:sz w:val="22"/>
          <w:szCs w:val="22"/>
          <w:highlight w:val="black"/>
          <w:lang w:val="en-US"/>
        </w:rPr>
        <w:t>EMPLOYMENT</w:t>
      </w:r>
      <w:r w:rsidR="00B81FB9">
        <w:rPr>
          <w:rFonts w:asciiTheme="majorBidi" w:hAnsiTheme="majorBidi" w:cstheme="majorBidi"/>
          <w:b/>
          <w:bCs/>
          <w:color w:val="FFFFFF" w:themeColor="background1"/>
          <w:sz w:val="22"/>
          <w:szCs w:val="22"/>
          <w:highlight w:val="black"/>
          <w:lang w:val="en-US"/>
        </w:rPr>
        <w:t xml:space="preserve"> AND SERVICE</w:t>
      </w:r>
    </w:p>
    <w:p w14:paraId="74F9332B" w14:textId="5D650011" w:rsidR="00F03BF1" w:rsidRDefault="00F03BF1" w:rsidP="0067130F">
      <w:pPr>
        <w:rPr>
          <w:rFonts w:asciiTheme="majorBidi" w:hAnsiTheme="majorBidi" w:cstheme="majorBidi"/>
          <w:sz w:val="22"/>
          <w:szCs w:val="22"/>
          <w:lang w:val="en-US"/>
        </w:rPr>
      </w:pPr>
      <w:r w:rsidRPr="00A1260E">
        <w:rPr>
          <w:rFonts w:asciiTheme="majorBidi" w:hAnsiTheme="majorBidi" w:cstheme="majorBidi"/>
          <w:b/>
          <w:bCs/>
          <w:sz w:val="22"/>
          <w:szCs w:val="22"/>
        </w:rPr>
        <w:t xml:space="preserve">Birzeit University, </w:t>
      </w:r>
      <w:r w:rsidRPr="00A1260E">
        <w:rPr>
          <w:rFonts w:asciiTheme="majorBidi" w:hAnsiTheme="majorBidi" w:cstheme="majorBidi"/>
          <w:sz w:val="22"/>
          <w:szCs w:val="22"/>
        </w:rPr>
        <w:t>Birzeit</w:t>
      </w:r>
      <w:r w:rsidR="00BE152B" w:rsidRPr="00A1260E">
        <w:rPr>
          <w:rFonts w:asciiTheme="majorBidi" w:hAnsiTheme="majorBidi" w:cstheme="majorBidi"/>
          <w:sz w:val="22"/>
          <w:szCs w:val="22"/>
          <w:lang w:val="en-US"/>
        </w:rPr>
        <w:t>,</w:t>
      </w:r>
      <w:r w:rsidRPr="00A1260E">
        <w:rPr>
          <w:rFonts w:asciiTheme="majorBidi" w:hAnsiTheme="majorBidi" w:cstheme="majorBidi"/>
          <w:sz w:val="22"/>
          <w:szCs w:val="22"/>
        </w:rPr>
        <w:t xml:space="preserve"> Palestine</w:t>
      </w:r>
      <w:r w:rsidR="00BE152B" w:rsidRPr="00A1260E">
        <w:rPr>
          <w:rFonts w:asciiTheme="majorBidi" w:hAnsiTheme="majorBidi" w:cstheme="majorBidi"/>
          <w:sz w:val="22"/>
          <w:szCs w:val="22"/>
          <w:lang w:val="en-US"/>
        </w:rPr>
        <w:t>.</w:t>
      </w:r>
    </w:p>
    <w:p w14:paraId="1336787B" w14:textId="67BC54B9" w:rsidR="00A1260E" w:rsidRPr="00A1260E" w:rsidRDefault="00A1260E" w:rsidP="003534A1">
      <w:pPr>
        <w:rPr>
          <w:rFonts w:asciiTheme="majorBidi" w:hAnsiTheme="majorBidi" w:cstheme="majorBidi"/>
          <w:sz w:val="22"/>
          <w:szCs w:val="22"/>
          <w:lang w:val="en-US"/>
        </w:rPr>
      </w:pPr>
      <w:r w:rsidRPr="00A1260E">
        <w:rPr>
          <w:rFonts w:asciiTheme="majorBidi" w:hAnsiTheme="majorBidi" w:cstheme="majorBidi"/>
          <w:sz w:val="22"/>
          <w:szCs w:val="22"/>
          <w:lang w:val="en-US"/>
        </w:rPr>
        <w:t>Associate professor of Modern History</w:t>
      </w:r>
      <w:r>
        <w:rPr>
          <w:rFonts w:asciiTheme="majorBidi" w:hAnsiTheme="majorBidi" w:cstheme="majorBidi"/>
          <w:sz w:val="22"/>
          <w:szCs w:val="22"/>
          <w:lang w:val="en-US"/>
        </w:rPr>
        <w:t xml:space="preserve">, </w:t>
      </w:r>
      <w:r w:rsidRPr="00A1260E">
        <w:rPr>
          <w:rFonts w:asciiTheme="majorBidi" w:hAnsiTheme="majorBidi" w:cstheme="majorBidi"/>
          <w:sz w:val="22"/>
          <w:szCs w:val="22"/>
        </w:rPr>
        <w:t>Department of Philosophy and Cultural Studies</w:t>
      </w:r>
      <w:r>
        <w:rPr>
          <w:rFonts w:asciiTheme="majorBidi" w:hAnsiTheme="majorBidi" w:cstheme="majorBidi"/>
          <w:sz w:val="22"/>
          <w:szCs w:val="22"/>
          <w:lang w:val="en-US"/>
        </w:rPr>
        <w:t>.</w:t>
      </w:r>
    </w:p>
    <w:p w14:paraId="029613A9" w14:textId="6C5CC914" w:rsidR="006E042B" w:rsidRPr="00A1260E" w:rsidRDefault="006E042B" w:rsidP="003534A1">
      <w:pPr>
        <w:rPr>
          <w:rFonts w:asciiTheme="majorBidi" w:hAnsiTheme="majorBidi" w:cstheme="majorBidi"/>
          <w:sz w:val="22"/>
          <w:szCs w:val="22"/>
          <w:lang w:val="en-US"/>
        </w:rPr>
      </w:pPr>
      <w:r w:rsidRPr="00A1260E">
        <w:rPr>
          <w:rFonts w:asciiTheme="majorBidi" w:hAnsiTheme="majorBidi" w:cstheme="majorBidi"/>
          <w:sz w:val="22"/>
          <w:szCs w:val="22"/>
          <w:lang w:val="en-US"/>
        </w:rPr>
        <w:t>Dean of Faculty of Arts</w:t>
      </w:r>
      <w:r w:rsidR="00770DC8" w:rsidRPr="00A1260E">
        <w:rPr>
          <w:rFonts w:asciiTheme="majorBidi" w:hAnsiTheme="majorBidi" w:cstheme="majorBidi"/>
          <w:sz w:val="22"/>
          <w:szCs w:val="22"/>
          <w:lang w:val="en-US"/>
        </w:rPr>
        <w:t xml:space="preserve">, </w:t>
      </w:r>
      <w:r w:rsidRPr="00A1260E">
        <w:rPr>
          <w:rFonts w:asciiTheme="majorBidi" w:hAnsiTheme="majorBidi" w:cstheme="majorBidi"/>
          <w:sz w:val="22"/>
          <w:szCs w:val="22"/>
          <w:lang w:val="en-US"/>
        </w:rPr>
        <w:t>August 2021-</w:t>
      </w:r>
      <w:r w:rsidR="00B81FB9">
        <w:rPr>
          <w:rFonts w:asciiTheme="majorBidi" w:hAnsiTheme="majorBidi" w:cstheme="majorBidi"/>
          <w:sz w:val="22"/>
          <w:szCs w:val="22"/>
          <w:lang w:val="en-US"/>
        </w:rPr>
        <w:t xml:space="preserve"> present</w:t>
      </w:r>
      <w:r w:rsidR="00770DC8" w:rsidRPr="00A1260E">
        <w:rPr>
          <w:rFonts w:asciiTheme="majorBidi" w:hAnsiTheme="majorBidi" w:cstheme="majorBidi"/>
          <w:sz w:val="22"/>
          <w:szCs w:val="22"/>
          <w:lang w:val="en-US"/>
        </w:rPr>
        <w:t>.</w:t>
      </w:r>
    </w:p>
    <w:p w14:paraId="348BDA3B" w14:textId="6132BBE8" w:rsidR="00F03BF1" w:rsidRPr="00A1260E" w:rsidRDefault="00A1260E" w:rsidP="003534A1">
      <w:pPr>
        <w:rPr>
          <w:rFonts w:asciiTheme="majorBidi" w:hAnsiTheme="majorBidi" w:cstheme="majorBidi"/>
          <w:sz w:val="22"/>
          <w:szCs w:val="22"/>
          <w:lang w:val="en-US"/>
        </w:rPr>
      </w:pPr>
      <w:r w:rsidRPr="00A1260E">
        <w:rPr>
          <w:rFonts w:asciiTheme="majorBidi" w:hAnsiTheme="majorBidi" w:cstheme="majorBidi"/>
          <w:sz w:val="22"/>
          <w:szCs w:val="22"/>
        </w:rPr>
        <w:t>Director</w:t>
      </w:r>
      <w:r>
        <w:rPr>
          <w:rFonts w:asciiTheme="majorBidi" w:hAnsiTheme="majorBidi" w:cstheme="majorBidi"/>
          <w:sz w:val="22"/>
          <w:szCs w:val="22"/>
          <w:lang w:val="en-US"/>
        </w:rPr>
        <w:t>,</w:t>
      </w:r>
      <w:r w:rsidRPr="00A1260E">
        <w:rPr>
          <w:rFonts w:asciiTheme="majorBidi" w:hAnsiTheme="majorBidi" w:cstheme="majorBidi"/>
          <w:sz w:val="22"/>
          <w:szCs w:val="22"/>
        </w:rPr>
        <w:t xml:space="preserve"> </w:t>
      </w:r>
      <w:r w:rsidR="00F03BF1" w:rsidRPr="00A1260E">
        <w:rPr>
          <w:rFonts w:asciiTheme="majorBidi" w:hAnsiTheme="majorBidi" w:cstheme="majorBidi"/>
          <w:sz w:val="22"/>
          <w:szCs w:val="22"/>
        </w:rPr>
        <w:t>MA Program in Israeli Studies, 2015-</w:t>
      </w:r>
      <w:r w:rsidR="006E042B" w:rsidRPr="00A1260E">
        <w:rPr>
          <w:rFonts w:asciiTheme="majorBidi" w:hAnsiTheme="majorBidi" w:cstheme="majorBidi"/>
          <w:sz w:val="22"/>
          <w:szCs w:val="22"/>
          <w:lang w:val="en-US"/>
        </w:rPr>
        <w:t>2021</w:t>
      </w:r>
      <w:r w:rsidR="00770DC8" w:rsidRPr="00A1260E">
        <w:rPr>
          <w:rFonts w:asciiTheme="majorBidi" w:hAnsiTheme="majorBidi" w:cstheme="majorBidi"/>
          <w:sz w:val="22"/>
          <w:szCs w:val="22"/>
          <w:lang w:val="en-US"/>
        </w:rPr>
        <w:t>.</w:t>
      </w:r>
    </w:p>
    <w:p w14:paraId="3640F946" w14:textId="725F9BE1" w:rsidR="00783671" w:rsidRPr="00A1260E" w:rsidRDefault="0083503B" w:rsidP="003534A1">
      <w:pPr>
        <w:rPr>
          <w:rFonts w:asciiTheme="majorBidi" w:hAnsiTheme="majorBidi" w:cstheme="majorBidi"/>
          <w:sz w:val="22"/>
          <w:szCs w:val="22"/>
          <w:lang w:val="en-US"/>
        </w:rPr>
      </w:pPr>
      <w:r w:rsidRPr="00A1260E">
        <w:rPr>
          <w:rFonts w:asciiTheme="majorBidi" w:hAnsiTheme="majorBidi" w:cstheme="majorBidi"/>
          <w:sz w:val="22"/>
          <w:szCs w:val="22"/>
        </w:rPr>
        <w:t xml:space="preserve">Committee </w:t>
      </w:r>
      <w:r w:rsidR="00A1260E">
        <w:rPr>
          <w:rFonts w:asciiTheme="majorBidi" w:hAnsiTheme="majorBidi" w:cstheme="majorBidi"/>
          <w:sz w:val="22"/>
          <w:szCs w:val="22"/>
          <w:lang w:val="en-US"/>
        </w:rPr>
        <w:t xml:space="preserve">Member, </w:t>
      </w:r>
      <w:r w:rsidR="00E1546D" w:rsidRPr="00A1260E">
        <w:rPr>
          <w:rFonts w:asciiTheme="majorBidi" w:hAnsiTheme="majorBidi" w:cstheme="majorBidi"/>
          <w:sz w:val="22"/>
          <w:szCs w:val="22"/>
        </w:rPr>
        <w:t>Doctoral Program in the Social Sciences</w:t>
      </w:r>
      <w:r w:rsidR="00A1260E">
        <w:rPr>
          <w:rFonts w:asciiTheme="majorBidi" w:hAnsiTheme="majorBidi" w:cstheme="majorBidi"/>
          <w:sz w:val="22"/>
          <w:szCs w:val="22"/>
          <w:lang w:val="en-US"/>
        </w:rPr>
        <w:t>,</w:t>
      </w:r>
      <w:r w:rsidR="00770DC8" w:rsidRPr="00A1260E">
        <w:rPr>
          <w:rFonts w:asciiTheme="majorBidi" w:hAnsiTheme="majorBidi" w:cstheme="majorBidi"/>
          <w:sz w:val="22"/>
          <w:szCs w:val="22"/>
          <w:lang w:val="en-US"/>
        </w:rPr>
        <w:t xml:space="preserve"> </w:t>
      </w:r>
      <w:r w:rsidR="00E1546D" w:rsidRPr="00A1260E">
        <w:rPr>
          <w:rFonts w:asciiTheme="majorBidi" w:hAnsiTheme="majorBidi" w:cstheme="majorBidi"/>
          <w:sz w:val="22"/>
          <w:szCs w:val="22"/>
        </w:rPr>
        <w:t>2015-2020</w:t>
      </w:r>
      <w:r w:rsidR="00770DC8" w:rsidRPr="00A1260E">
        <w:rPr>
          <w:rFonts w:asciiTheme="majorBidi" w:hAnsiTheme="majorBidi" w:cstheme="majorBidi"/>
          <w:sz w:val="22"/>
          <w:szCs w:val="22"/>
          <w:lang w:val="en-US"/>
        </w:rPr>
        <w:t xml:space="preserve">; </w:t>
      </w:r>
      <w:r w:rsidR="00A1260E">
        <w:rPr>
          <w:rFonts w:asciiTheme="majorBidi" w:hAnsiTheme="majorBidi" w:cstheme="majorBidi"/>
          <w:sz w:val="22"/>
          <w:szCs w:val="22"/>
          <w:lang w:val="en-US"/>
        </w:rPr>
        <w:t xml:space="preserve">2022-2023. </w:t>
      </w:r>
    </w:p>
    <w:p w14:paraId="6F5AB9BF" w14:textId="77777777" w:rsidR="0083503B" w:rsidRDefault="0083503B" w:rsidP="0067130F">
      <w:pPr>
        <w:rPr>
          <w:rFonts w:asciiTheme="majorBidi" w:hAnsiTheme="majorBidi" w:cstheme="majorBidi"/>
          <w:b/>
          <w:bCs/>
          <w:color w:val="FFFFFF" w:themeColor="background1"/>
          <w:sz w:val="22"/>
          <w:szCs w:val="22"/>
          <w:highlight w:val="black"/>
          <w:lang w:val="en-US"/>
        </w:rPr>
      </w:pPr>
    </w:p>
    <w:p w14:paraId="117F5823" w14:textId="200E3554" w:rsidR="00BB54DB" w:rsidRPr="00624D64" w:rsidRDefault="00F03BF1" w:rsidP="00624D64">
      <w:pPr>
        <w:rPr>
          <w:rFonts w:asciiTheme="majorBidi" w:hAnsiTheme="majorBidi" w:cstheme="majorBidi"/>
          <w:b/>
          <w:bCs/>
          <w:color w:val="FFFFFF" w:themeColor="background1"/>
          <w:sz w:val="22"/>
          <w:szCs w:val="22"/>
          <w:highlight w:val="black"/>
        </w:rPr>
      </w:pPr>
      <w:r w:rsidRPr="00A1260E">
        <w:rPr>
          <w:rFonts w:asciiTheme="majorBidi" w:hAnsiTheme="majorBidi" w:cstheme="majorBidi"/>
          <w:b/>
          <w:bCs/>
          <w:color w:val="FFFFFF" w:themeColor="background1"/>
          <w:sz w:val="22"/>
          <w:szCs w:val="22"/>
          <w:highlight w:val="black"/>
        </w:rPr>
        <w:t>EDUCATION</w:t>
      </w:r>
    </w:p>
    <w:p w14:paraId="67CEF874" w14:textId="750D122E" w:rsidR="00F03BF1" w:rsidRPr="00A1260E" w:rsidRDefault="00F03BF1" w:rsidP="0067130F">
      <w:pPr>
        <w:rPr>
          <w:rFonts w:asciiTheme="majorBidi" w:hAnsiTheme="majorBidi" w:cstheme="majorBidi"/>
          <w:i/>
          <w:iCs/>
          <w:sz w:val="22"/>
          <w:szCs w:val="22"/>
        </w:rPr>
      </w:pPr>
      <w:r w:rsidRPr="00A1260E">
        <w:rPr>
          <w:rFonts w:asciiTheme="majorBidi" w:hAnsiTheme="majorBidi" w:cstheme="majorBidi"/>
          <w:b/>
          <w:bCs/>
          <w:sz w:val="22"/>
          <w:szCs w:val="22"/>
        </w:rPr>
        <w:t>New York University</w:t>
      </w:r>
      <w:r w:rsidRPr="00A1260E">
        <w:rPr>
          <w:rFonts w:asciiTheme="majorBidi" w:hAnsiTheme="majorBidi" w:cstheme="majorBidi"/>
          <w:sz w:val="22"/>
          <w:szCs w:val="22"/>
        </w:rPr>
        <w:t xml:space="preserve">, New York. </w:t>
      </w:r>
      <w:r w:rsidRPr="00A1260E">
        <w:rPr>
          <w:rFonts w:asciiTheme="majorBidi" w:hAnsiTheme="majorBidi" w:cstheme="majorBidi"/>
          <w:i/>
          <w:iCs/>
          <w:sz w:val="22"/>
          <w:szCs w:val="22"/>
        </w:rPr>
        <w:t>Ph.D., History, 2008.</w:t>
      </w:r>
    </w:p>
    <w:p w14:paraId="0A1E6E6F" w14:textId="7B2268B0" w:rsidR="00F03BF1" w:rsidRPr="003534A1" w:rsidRDefault="00F03BF1" w:rsidP="003534A1">
      <w:pPr>
        <w:rPr>
          <w:rFonts w:asciiTheme="majorBidi" w:hAnsiTheme="majorBidi" w:cstheme="majorBidi"/>
          <w:sz w:val="22"/>
          <w:szCs w:val="22"/>
          <w:lang w:val="en-US"/>
        </w:rPr>
      </w:pPr>
      <w:r w:rsidRPr="00A1260E">
        <w:rPr>
          <w:rFonts w:asciiTheme="majorBidi" w:hAnsiTheme="majorBidi" w:cstheme="majorBidi"/>
          <w:sz w:val="22"/>
          <w:szCs w:val="22"/>
        </w:rPr>
        <w:t xml:space="preserve">Examination Fields: </w:t>
      </w:r>
      <w:r w:rsidR="003534A1">
        <w:rPr>
          <w:rFonts w:asciiTheme="majorBidi" w:hAnsiTheme="majorBidi" w:cstheme="majorBidi"/>
          <w:sz w:val="22"/>
          <w:szCs w:val="22"/>
          <w:lang w:val="en-US"/>
        </w:rPr>
        <w:t>m</w:t>
      </w:r>
      <w:r w:rsidRPr="00A1260E">
        <w:rPr>
          <w:rFonts w:asciiTheme="majorBidi" w:hAnsiTheme="majorBidi" w:cstheme="majorBidi"/>
          <w:sz w:val="22"/>
          <w:szCs w:val="22"/>
        </w:rPr>
        <w:t>odern</w:t>
      </w:r>
      <w:r w:rsidR="003534A1">
        <w:rPr>
          <w:rFonts w:asciiTheme="majorBidi" w:hAnsiTheme="majorBidi" w:cstheme="majorBidi"/>
          <w:sz w:val="22"/>
          <w:szCs w:val="22"/>
          <w:lang w:val="en-US"/>
        </w:rPr>
        <w:t xml:space="preserve">, and </w:t>
      </w:r>
      <w:r w:rsidR="003534A1" w:rsidRPr="00A1260E">
        <w:rPr>
          <w:rFonts w:asciiTheme="majorBidi" w:hAnsiTheme="majorBidi" w:cstheme="majorBidi"/>
          <w:sz w:val="22"/>
          <w:szCs w:val="22"/>
        </w:rPr>
        <w:t>early modern</w:t>
      </w:r>
      <w:r w:rsidRPr="00A1260E">
        <w:rPr>
          <w:rFonts w:asciiTheme="majorBidi" w:hAnsiTheme="majorBidi" w:cstheme="majorBidi"/>
          <w:sz w:val="22"/>
          <w:szCs w:val="22"/>
        </w:rPr>
        <w:t xml:space="preserve"> Middle East and North Africa</w:t>
      </w:r>
      <w:r w:rsidR="003534A1">
        <w:rPr>
          <w:rFonts w:asciiTheme="majorBidi" w:hAnsiTheme="majorBidi" w:cstheme="majorBidi"/>
          <w:sz w:val="22"/>
          <w:szCs w:val="22"/>
          <w:lang w:val="en-US"/>
        </w:rPr>
        <w:t>.</w:t>
      </w:r>
    </w:p>
    <w:p w14:paraId="158A91C5" w14:textId="1AFF4306" w:rsidR="00BB54DB" w:rsidRPr="00624D64" w:rsidRDefault="00F03BF1" w:rsidP="003534A1">
      <w:pPr>
        <w:rPr>
          <w:rFonts w:asciiTheme="majorBidi" w:hAnsiTheme="majorBidi" w:cstheme="majorBidi"/>
        </w:rPr>
      </w:pPr>
      <w:r w:rsidRPr="00A1260E">
        <w:rPr>
          <w:rFonts w:asciiTheme="majorBidi" w:hAnsiTheme="majorBidi" w:cstheme="majorBidi"/>
          <w:sz w:val="22"/>
          <w:szCs w:val="22"/>
        </w:rPr>
        <w:t xml:space="preserve">Dissertation title: </w:t>
      </w:r>
      <w:r w:rsidRPr="00A1260E">
        <w:rPr>
          <w:rFonts w:asciiTheme="majorBidi" w:hAnsiTheme="majorBidi" w:cstheme="majorBidi"/>
          <w:i/>
          <w:iCs/>
          <w:sz w:val="22"/>
          <w:szCs w:val="22"/>
        </w:rPr>
        <w:t xml:space="preserve">Communities of Owners: Land Law, Governance, and Politics in Palestine, 1858-1948. </w:t>
      </w:r>
    </w:p>
    <w:p w14:paraId="22B7110D" w14:textId="4F3E102C" w:rsidR="00BB54DB" w:rsidRPr="00624D64" w:rsidRDefault="00F03BF1" w:rsidP="00624D64">
      <w:pPr>
        <w:rPr>
          <w:rFonts w:asciiTheme="majorBidi" w:hAnsiTheme="majorBidi" w:cstheme="majorBidi"/>
        </w:rPr>
      </w:pPr>
      <w:r w:rsidRPr="00A1260E">
        <w:rPr>
          <w:rFonts w:asciiTheme="majorBidi" w:hAnsiTheme="majorBidi" w:cstheme="majorBidi"/>
          <w:b/>
          <w:bCs/>
          <w:sz w:val="22"/>
          <w:szCs w:val="22"/>
        </w:rPr>
        <w:t>New York University</w:t>
      </w:r>
      <w:r w:rsidRPr="00A1260E">
        <w:rPr>
          <w:rFonts w:asciiTheme="majorBidi" w:hAnsiTheme="majorBidi" w:cstheme="majorBidi"/>
          <w:sz w:val="22"/>
          <w:szCs w:val="22"/>
        </w:rPr>
        <w:t xml:space="preserve">, New York. </w:t>
      </w:r>
      <w:r w:rsidRPr="00A1260E">
        <w:rPr>
          <w:rFonts w:asciiTheme="majorBidi" w:hAnsiTheme="majorBidi" w:cstheme="majorBidi"/>
          <w:i/>
          <w:iCs/>
          <w:sz w:val="22"/>
          <w:szCs w:val="22"/>
        </w:rPr>
        <w:t xml:space="preserve">M.A., Middle Eastern and Islamic Studies, 2001. </w:t>
      </w:r>
    </w:p>
    <w:p w14:paraId="3B74F7DA" w14:textId="0006DF74" w:rsidR="00F53DC8" w:rsidRPr="00A1260E" w:rsidRDefault="00F03BF1" w:rsidP="0067130F">
      <w:pPr>
        <w:rPr>
          <w:rFonts w:asciiTheme="majorBidi" w:hAnsiTheme="majorBidi" w:cstheme="majorBidi"/>
          <w:i/>
          <w:iCs/>
          <w:sz w:val="22"/>
          <w:szCs w:val="22"/>
        </w:rPr>
      </w:pPr>
      <w:r w:rsidRPr="00A1260E">
        <w:rPr>
          <w:rFonts w:asciiTheme="majorBidi" w:hAnsiTheme="majorBidi" w:cstheme="majorBidi"/>
          <w:b/>
          <w:bCs/>
          <w:sz w:val="22"/>
          <w:szCs w:val="22"/>
        </w:rPr>
        <w:t>Hebrew University</w:t>
      </w:r>
      <w:r w:rsidRPr="00A1260E">
        <w:rPr>
          <w:rFonts w:asciiTheme="majorBidi" w:hAnsiTheme="majorBidi" w:cstheme="majorBidi"/>
          <w:sz w:val="22"/>
          <w:szCs w:val="22"/>
        </w:rPr>
        <w:t xml:space="preserve">, Jerusalem. </w:t>
      </w:r>
      <w:r w:rsidRPr="00A1260E">
        <w:rPr>
          <w:rFonts w:asciiTheme="majorBidi" w:hAnsiTheme="majorBidi" w:cstheme="majorBidi"/>
          <w:i/>
          <w:iCs/>
          <w:sz w:val="22"/>
          <w:szCs w:val="22"/>
        </w:rPr>
        <w:t xml:space="preserve">B.A., Philosophy, and Sociology &amp; Anthropology, 1996. </w:t>
      </w:r>
    </w:p>
    <w:p w14:paraId="158A23BE" w14:textId="77777777" w:rsidR="0083503B" w:rsidRDefault="0083503B" w:rsidP="0067130F">
      <w:pPr>
        <w:rPr>
          <w:rFonts w:asciiTheme="majorBidi" w:hAnsiTheme="majorBidi" w:cstheme="majorBidi"/>
          <w:b/>
          <w:bCs/>
          <w:color w:val="FFFFFF" w:themeColor="background1"/>
          <w:sz w:val="22"/>
          <w:szCs w:val="22"/>
          <w:highlight w:val="black"/>
          <w:lang w:val="en-US"/>
        </w:rPr>
      </w:pPr>
    </w:p>
    <w:p w14:paraId="36DDCD9C" w14:textId="4DBB0B41" w:rsidR="00BB54DB" w:rsidRPr="00624D64" w:rsidRDefault="009430ED" w:rsidP="00624D64">
      <w:pPr>
        <w:rPr>
          <w:rFonts w:asciiTheme="majorBidi" w:hAnsiTheme="majorBidi" w:cstheme="majorBidi"/>
          <w:b/>
          <w:bCs/>
          <w:color w:val="FFFFFF" w:themeColor="background1"/>
          <w:sz w:val="22"/>
          <w:szCs w:val="22"/>
          <w:highlight w:val="black"/>
        </w:rPr>
      </w:pPr>
      <w:r w:rsidRPr="00A1260E">
        <w:rPr>
          <w:rFonts w:asciiTheme="majorBidi" w:hAnsiTheme="majorBidi" w:cstheme="majorBidi"/>
          <w:b/>
          <w:bCs/>
          <w:color w:val="FFFFFF" w:themeColor="background1"/>
          <w:sz w:val="22"/>
          <w:szCs w:val="22"/>
          <w:highlight w:val="black"/>
          <w:lang w:val="en-US"/>
        </w:rPr>
        <w:t xml:space="preserve">OTHER WORK </w:t>
      </w:r>
      <w:r w:rsidRPr="00A1260E">
        <w:rPr>
          <w:rFonts w:asciiTheme="majorBidi" w:hAnsiTheme="majorBidi" w:cstheme="majorBidi"/>
          <w:b/>
          <w:bCs/>
          <w:color w:val="FFFFFF" w:themeColor="background1"/>
          <w:sz w:val="22"/>
          <w:szCs w:val="22"/>
          <w:highlight w:val="black"/>
        </w:rPr>
        <w:t xml:space="preserve">EXPERIENCE </w:t>
      </w:r>
    </w:p>
    <w:p w14:paraId="1B9584B1" w14:textId="6415E422" w:rsidR="009430ED" w:rsidRPr="00A1260E" w:rsidRDefault="009430ED" w:rsidP="0067130F">
      <w:pPr>
        <w:rPr>
          <w:rFonts w:asciiTheme="majorBidi" w:hAnsiTheme="majorBidi" w:cstheme="majorBidi"/>
        </w:rPr>
      </w:pPr>
      <w:r w:rsidRPr="00A1260E">
        <w:rPr>
          <w:rFonts w:asciiTheme="majorBidi" w:hAnsiTheme="majorBidi" w:cstheme="majorBidi"/>
          <w:b/>
          <w:bCs/>
          <w:sz w:val="22"/>
          <w:szCs w:val="22"/>
        </w:rPr>
        <w:t xml:space="preserve">Institute for Palestine Studies, </w:t>
      </w:r>
      <w:r w:rsidRPr="00A1260E">
        <w:rPr>
          <w:rFonts w:asciiTheme="majorBidi" w:hAnsiTheme="majorBidi" w:cstheme="majorBidi"/>
          <w:sz w:val="22"/>
          <w:szCs w:val="22"/>
        </w:rPr>
        <w:t xml:space="preserve">Ramallah and Beirut. </w:t>
      </w:r>
    </w:p>
    <w:p w14:paraId="350EBA9A" w14:textId="54C11A0C" w:rsidR="009430ED" w:rsidRPr="00A1260E" w:rsidRDefault="009430ED" w:rsidP="0067130F">
      <w:pPr>
        <w:rPr>
          <w:rFonts w:asciiTheme="majorBidi" w:hAnsiTheme="majorBidi" w:cstheme="majorBidi"/>
          <w:sz w:val="22"/>
          <w:szCs w:val="22"/>
        </w:rPr>
      </w:pPr>
      <w:r w:rsidRPr="00A1260E">
        <w:rPr>
          <w:rFonts w:asciiTheme="majorBidi" w:hAnsiTheme="majorBidi" w:cstheme="majorBidi"/>
          <w:sz w:val="22"/>
          <w:szCs w:val="22"/>
        </w:rPr>
        <w:t>Research</w:t>
      </w:r>
      <w:r w:rsidRPr="00A1260E">
        <w:rPr>
          <w:rFonts w:asciiTheme="majorBidi" w:hAnsiTheme="majorBidi" w:cstheme="majorBidi"/>
          <w:sz w:val="22"/>
          <w:szCs w:val="22"/>
          <w:rtl/>
        </w:rPr>
        <w:t xml:space="preserve"> </w:t>
      </w:r>
      <w:r w:rsidRPr="00A1260E">
        <w:rPr>
          <w:rFonts w:asciiTheme="majorBidi" w:hAnsiTheme="majorBidi" w:cstheme="majorBidi"/>
          <w:sz w:val="22"/>
          <w:szCs w:val="22"/>
        </w:rPr>
        <w:t>fellow, consultant for an online archiving project (2011-</w:t>
      </w:r>
      <w:r w:rsidRPr="00A1260E">
        <w:rPr>
          <w:rFonts w:asciiTheme="majorBidi" w:hAnsiTheme="majorBidi" w:cstheme="majorBidi"/>
          <w:sz w:val="22"/>
          <w:szCs w:val="22"/>
          <w:rtl/>
        </w:rPr>
        <w:t>2020</w:t>
      </w:r>
      <w:r w:rsidRPr="00A1260E">
        <w:rPr>
          <w:rFonts w:asciiTheme="majorBidi" w:hAnsiTheme="majorBidi" w:cstheme="majorBidi"/>
          <w:sz w:val="22"/>
          <w:szCs w:val="22"/>
        </w:rPr>
        <w:t xml:space="preserve">) </w:t>
      </w:r>
    </w:p>
    <w:p w14:paraId="191189DB" w14:textId="77777777" w:rsidR="0083503B" w:rsidRDefault="0083503B" w:rsidP="0067130F">
      <w:pPr>
        <w:rPr>
          <w:rFonts w:asciiTheme="majorBidi" w:hAnsiTheme="majorBidi" w:cstheme="majorBidi"/>
          <w:b/>
          <w:bCs/>
          <w:color w:val="FFFFFF" w:themeColor="background1"/>
          <w:sz w:val="22"/>
          <w:szCs w:val="22"/>
          <w:highlight w:val="black"/>
        </w:rPr>
      </w:pPr>
    </w:p>
    <w:p w14:paraId="10788BE9" w14:textId="6F89EB37" w:rsidR="00770DC8" w:rsidRPr="00A1260E" w:rsidRDefault="00770DC8" w:rsidP="0067130F">
      <w:pPr>
        <w:rPr>
          <w:rFonts w:asciiTheme="majorBidi" w:hAnsiTheme="majorBidi" w:cstheme="majorBidi"/>
          <w:b/>
          <w:bCs/>
          <w:color w:val="FFFFFF" w:themeColor="background1"/>
          <w:sz w:val="22"/>
          <w:szCs w:val="22"/>
          <w:highlight w:val="black"/>
        </w:rPr>
      </w:pPr>
      <w:r w:rsidRPr="00A1260E">
        <w:rPr>
          <w:rFonts w:asciiTheme="majorBidi" w:hAnsiTheme="majorBidi" w:cstheme="majorBidi"/>
          <w:b/>
          <w:bCs/>
          <w:color w:val="FFFFFF" w:themeColor="background1"/>
          <w:sz w:val="22"/>
          <w:szCs w:val="22"/>
          <w:highlight w:val="black"/>
        </w:rPr>
        <w:t xml:space="preserve">RESEARCH INTERESTS </w:t>
      </w:r>
    </w:p>
    <w:p w14:paraId="49B2C354" w14:textId="22445FF8" w:rsidR="00B46381" w:rsidRPr="00A1260E" w:rsidRDefault="00624D64" w:rsidP="0067130F">
      <w:pPr>
        <w:rPr>
          <w:rFonts w:asciiTheme="majorBidi" w:hAnsiTheme="majorBidi" w:cstheme="majorBidi"/>
          <w:sz w:val="22"/>
          <w:szCs w:val="22"/>
        </w:rPr>
      </w:pPr>
      <w:r>
        <w:rPr>
          <w:rFonts w:asciiTheme="majorBidi" w:hAnsiTheme="majorBidi" w:cstheme="majorBidi"/>
          <w:sz w:val="22"/>
          <w:szCs w:val="22"/>
          <w:lang w:val="en-US"/>
        </w:rPr>
        <w:t>C</w:t>
      </w:r>
      <w:r w:rsidR="00770DC8" w:rsidRPr="00A1260E">
        <w:rPr>
          <w:rFonts w:asciiTheme="majorBidi" w:hAnsiTheme="majorBidi" w:cstheme="majorBidi"/>
          <w:sz w:val="22"/>
          <w:szCs w:val="22"/>
        </w:rPr>
        <w:t xml:space="preserve">olonialism and anti-colonial politics and history; Land law and property records; </w:t>
      </w:r>
      <w:r w:rsidR="00BE152B" w:rsidRPr="00A1260E">
        <w:rPr>
          <w:rFonts w:asciiTheme="majorBidi" w:hAnsiTheme="majorBidi" w:cstheme="majorBidi"/>
          <w:sz w:val="22"/>
          <w:szCs w:val="22"/>
          <w:lang w:val="en-US"/>
        </w:rPr>
        <w:t>S</w:t>
      </w:r>
      <w:r w:rsidR="00770DC8" w:rsidRPr="00A1260E">
        <w:rPr>
          <w:rFonts w:asciiTheme="majorBidi" w:hAnsiTheme="majorBidi" w:cstheme="majorBidi"/>
          <w:sz w:val="22"/>
          <w:szCs w:val="22"/>
        </w:rPr>
        <w:t>ociology and anthropology of Bilad al-Sham</w:t>
      </w:r>
      <w:r w:rsidR="00BE152B" w:rsidRPr="00A1260E">
        <w:rPr>
          <w:rFonts w:asciiTheme="majorBidi" w:hAnsiTheme="majorBidi" w:cstheme="majorBidi"/>
          <w:sz w:val="22"/>
          <w:szCs w:val="22"/>
          <w:lang w:val="en-US"/>
        </w:rPr>
        <w:t>; Critical social and political theory.</w:t>
      </w:r>
    </w:p>
    <w:p w14:paraId="13D1D1DC" w14:textId="77777777" w:rsidR="0083503B" w:rsidRDefault="0083503B" w:rsidP="0067130F">
      <w:pPr>
        <w:rPr>
          <w:rFonts w:asciiTheme="majorBidi" w:hAnsiTheme="majorBidi" w:cstheme="majorBidi"/>
          <w:b/>
          <w:bCs/>
          <w:color w:val="FFFFFF" w:themeColor="background1"/>
          <w:sz w:val="22"/>
          <w:szCs w:val="22"/>
          <w:highlight w:val="black"/>
        </w:rPr>
      </w:pPr>
    </w:p>
    <w:p w14:paraId="1388E1D9" w14:textId="342266DD" w:rsidR="00BB54DB" w:rsidRPr="00624D64" w:rsidRDefault="00206AB0" w:rsidP="00624D64">
      <w:pPr>
        <w:rPr>
          <w:rFonts w:asciiTheme="majorBidi" w:hAnsiTheme="majorBidi" w:cstheme="majorBidi"/>
          <w:b/>
          <w:bCs/>
          <w:color w:val="FFFFFF" w:themeColor="background1"/>
          <w:sz w:val="22"/>
          <w:szCs w:val="22"/>
          <w:highlight w:val="black"/>
        </w:rPr>
      </w:pPr>
      <w:r w:rsidRPr="00A1260E">
        <w:rPr>
          <w:rFonts w:asciiTheme="majorBidi" w:hAnsiTheme="majorBidi" w:cstheme="majorBidi"/>
          <w:b/>
          <w:bCs/>
          <w:color w:val="FFFFFF" w:themeColor="background1"/>
          <w:sz w:val="22"/>
          <w:szCs w:val="22"/>
          <w:highlight w:val="black"/>
        </w:rPr>
        <w:t xml:space="preserve">RESEARCH </w:t>
      </w:r>
      <w:r w:rsidRPr="00A1260E">
        <w:rPr>
          <w:rFonts w:asciiTheme="majorBidi" w:hAnsiTheme="majorBidi" w:cstheme="majorBidi"/>
          <w:b/>
          <w:bCs/>
          <w:color w:val="FFFFFF" w:themeColor="background1"/>
          <w:sz w:val="22"/>
          <w:szCs w:val="22"/>
          <w:highlight w:val="black"/>
          <w:lang w:val="en-US"/>
        </w:rPr>
        <w:t>PROJECTS</w:t>
      </w:r>
      <w:r w:rsidRPr="00A1260E">
        <w:rPr>
          <w:rFonts w:asciiTheme="majorBidi" w:hAnsiTheme="majorBidi" w:cstheme="majorBidi"/>
          <w:b/>
          <w:bCs/>
          <w:color w:val="FFFFFF" w:themeColor="background1"/>
          <w:sz w:val="22"/>
          <w:szCs w:val="22"/>
          <w:highlight w:val="black"/>
        </w:rPr>
        <w:t xml:space="preserve"> </w:t>
      </w:r>
    </w:p>
    <w:p w14:paraId="4295E663" w14:textId="7444EEC5" w:rsidR="00BA68F4" w:rsidRPr="00A1260E" w:rsidRDefault="00BA68F4" w:rsidP="0067130F">
      <w:pPr>
        <w:rPr>
          <w:rFonts w:asciiTheme="majorBidi" w:hAnsiTheme="majorBidi" w:cstheme="majorBidi"/>
          <w:b/>
          <w:bCs/>
          <w:sz w:val="22"/>
          <w:szCs w:val="22"/>
          <w:lang w:val="en-US"/>
        </w:rPr>
      </w:pPr>
      <w:r w:rsidRPr="00A1260E">
        <w:rPr>
          <w:rFonts w:asciiTheme="majorBidi" w:hAnsiTheme="majorBidi" w:cstheme="majorBidi"/>
          <w:b/>
          <w:bCs/>
          <w:sz w:val="22"/>
          <w:szCs w:val="22"/>
          <w:lang w:val="en-US"/>
        </w:rPr>
        <w:t>Birzeit University</w:t>
      </w:r>
    </w:p>
    <w:p w14:paraId="74156D3F" w14:textId="26D107D9" w:rsidR="00BB54DB" w:rsidRPr="00624D64" w:rsidRDefault="004F63B8" w:rsidP="00624D64">
      <w:pPr>
        <w:rPr>
          <w:rFonts w:asciiTheme="majorBidi" w:hAnsiTheme="majorBidi" w:cstheme="majorBidi"/>
          <w:sz w:val="22"/>
          <w:szCs w:val="22"/>
          <w:lang w:val="en-US"/>
        </w:rPr>
      </w:pPr>
      <w:r w:rsidRPr="00A1260E">
        <w:rPr>
          <w:rFonts w:asciiTheme="majorBidi" w:hAnsiTheme="majorBidi" w:cstheme="majorBidi"/>
          <w:sz w:val="22"/>
          <w:szCs w:val="22"/>
          <w:lang w:val="en-US"/>
        </w:rPr>
        <w:t>Co-Principal Supervisor, “</w:t>
      </w:r>
      <w:r w:rsidRPr="00A1260E">
        <w:rPr>
          <w:rFonts w:asciiTheme="majorBidi" w:hAnsiTheme="majorBidi" w:cstheme="majorBidi"/>
          <w:sz w:val="22"/>
          <w:szCs w:val="22"/>
        </w:rPr>
        <w:t>Mapping Memories of Resistance: The Untold Story of the Occupation of the Golan Heights</w:t>
      </w:r>
      <w:r w:rsidRPr="00A1260E">
        <w:rPr>
          <w:rFonts w:asciiTheme="majorBidi" w:hAnsiTheme="majorBidi" w:cstheme="majorBidi"/>
          <w:sz w:val="22"/>
          <w:szCs w:val="22"/>
          <w:lang w:val="en-US"/>
        </w:rPr>
        <w:t xml:space="preserve">” </w:t>
      </w:r>
      <w:r w:rsidRPr="00A1260E">
        <w:rPr>
          <w:rFonts w:asciiTheme="majorBidi" w:hAnsiTheme="majorBidi" w:cstheme="majorBidi"/>
          <w:sz w:val="22"/>
          <w:szCs w:val="22"/>
        </w:rPr>
        <w:t xml:space="preserve">in collaboration with </w:t>
      </w:r>
      <w:r w:rsidRPr="00A1260E">
        <w:rPr>
          <w:rFonts w:asciiTheme="majorBidi" w:hAnsiTheme="majorBidi" w:cstheme="majorBidi"/>
          <w:sz w:val="22"/>
          <w:szCs w:val="22"/>
          <w:lang w:val="en-US"/>
        </w:rPr>
        <w:t>London School of Economics (LSE)</w:t>
      </w:r>
      <w:r w:rsidRPr="00A1260E">
        <w:rPr>
          <w:rFonts w:asciiTheme="majorBidi" w:hAnsiTheme="majorBidi" w:cstheme="majorBidi"/>
          <w:sz w:val="22"/>
          <w:szCs w:val="22"/>
        </w:rPr>
        <w:t xml:space="preserve"> and Al Marsad, Arab Human Rights Centre in Golan Heights</w:t>
      </w:r>
      <w:r w:rsidRPr="00A1260E">
        <w:rPr>
          <w:rFonts w:asciiTheme="majorBidi" w:hAnsiTheme="majorBidi" w:cstheme="majorBidi"/>
          <w:sz w:val="22"/>
          <w:szCs w:val="22"/>
          <w:lang w:val="en-US"/>
        </w:rPr>
        <w:t xml:space="preserve">, 2018-2021. </w:t>
      </w:r>
    </w:p>
    <w:p w14:paraId="366AE20C" w14:textId="054CF310" w:rsidR="00BA68F4" w:rsidRPr="00A1260E" w:rsidRDefault="00BA68F4" w:rsidP="0067130F">
      <w:pPr>
        <w:rPr>
          <w:rFonts w:asciiTheme="majorBidi" w:hAnsiTheme="majorBidi" w:cstheme="majorBidi"/>
          <w:sz w:val="22"/>
          <w:szCs w:val="22"/>
        </w:rPr>
      </w:pPr>
      <w:r w:rsidRPr="00A1260E">
        <w:rPr>
          <w:rFonts w:asciiTheme="majorBidi" w:hAnsiTheme="majorBidi" w:cstheme="majorBidi"/>
          <w:b/>
          <w:bCs/>
          <w:sz w:val="22"/>
          <w:szCs w:val="22"/>
        </w:rPr>
        <w:t>Palestinian Diaspora and Refugee Center (SHAML)</w:t>
      </w:r>
      <w:r w:rsidRPr="00A1260E">
        <w:rPr>
          <w:rFonts w:asciiTheme="majorBidi" w:hAnsiTheme="majorBidi" w:cstheme="majorBidi"/>
          <w:sz w:val="22"/>
          <w:szCs w:val="22"/>
        </w:rPr>
        <w:t xml:space="preserve">, Ramallah. </w:t>
      </w:r>
    </w:p>
    <w:p w14:paraId="28CF5E8C" w14:textId="70A1CF7F" w:rsidR="00BA68F4" w:rsidRPr="00A1260E" w:rsidRDefault="00BA68F4" w:rsidP="0067130F">
      <w:pPr>
        <w:rPr>
          <w:rFonts w:asciiTheme="majorBidi" w:hAnsiTheme="majorBidi" w:cstheme="majorBidi"/>
          <w:sz w:val="22"/>
          <w:szCs w:val="22"/>
        </w:rPr>
      </w:pPr>
      <w:r w:rsidRPr="00A1260E">
        <w:rPr>
          <w:rFonts w:asciiTheme="majorBidi" w:hAnsiTheme="majorBidi" w:cstheme="majorBidi"/>
          <w:sz w:val="22"/>
          <w:szCs w:val="22"/>
        </w:rPr>
        <w:t xml:space="preserve">Coordinated an oral history research project in the occupied Golan Heights. Main focus: rural urbanization and popular politics, 2004. </w:t>
      </w:r>
    </w:p>
    <w:p w14:paraId="2886CE13" w14:textId="77777777" w:rsidR="0083503B" w:rsidRDefault="0083503B" w:rsidP="0067130F">
      <w:pPr>
        <w:rPr>
          <w:rFonts w:asciiTheme="majorBidi" w:hAnsiTheme="majorBidi" w:cstheme="majorBidi"/>
          <w:b/>
          <w:bCs/>
          <w:color w:val="FFFFFF" w:themeColor="background1"/>
          <w:sz w:val="22"/>
          <w:szCs w:val="22"/>
          <w:highlight w:val="black"/>
        </w:rPr>
      </w:pPr>
    </w:p>
    <w:p w14:paraId="2CF41D3C" w14:textId="3C26E853" w:rsidR="00BB54DB" w:rsidRPr="00624D64" w:rsidRDefault="00F03BF1" w:rsidP="00624D64">
      <w:pPr>
        <w:rPr>
          <w:rFonts w:asciiTheme="majorBidi" w:hAnsiTheme="majorBidi" w:cstheme="majorBidi"/>
          <w:b/>
          <w:bCs/>
          <w:color w:val="FFFFFF" w:themeColor="background1"/>
          <w:sz w:val="22"/>
          <w:szCs w:val="22"/>
          <w:highlight w:val="black"/>
        </w:rPr>
      </w:pPr>
      <w:r w:rsidRPr="00A1260E">
        <w:rPr>
          <w:rFonts w:asciiTheme="majorBidi" w:hAnsiTheme="majorBidi" w:cstheme="majorBidi"/>
          <w:b/>
          <w:bCs/>
          <w:color w:val="FFFFFF" w:themeColor="background1"/>
          <w:sz w:val="22"/>
          <w:szCs w:val="22"/>
          <w:highlight w:val="black"/>
        </w:rPr>
        <w:t xml:space="preserve">FELLOWSHIPS </w:t>
      </w:r>
    </w:p>
    <w:p w14:paraId="153C445C" w14:textId="183E66A2" w:rsidR="00770DC8" w:rsidRPr="00A1260E" w:rsidRDefault="00770DC8" w:rsidP="0067130F">
      <w:pPr>
        <w:rPr>
          <w:rFonts w:asciiTheme="majorBidi" w:hAnsiTheme="majorBidi" w:cstheme="majorBidi"/>
          <w:b/>
          <w:bCs/>
          <w:color w:val="FFFFFF" w:themeColor="background1"/>
          <w:sz w:val="22"/>
          <w:szCs w:val="22"/>
          <w:highlight w:val="black"/>
          <w:lang w:val="en-US"/>
        </w:rPr>
      </w:pPr>
      <w:r w:rsidRPr="00A1260E">
        <w:rPr>
          <w:rFonts w:asciiTheme="majorBidi" w:hAnsiTheme="majorBidi" w:cstheme="majorBidi"/>
          <w:b/>
          <w:bCs/>
          <w:sz w:val="22"/>
          <w:szCs w:val="22"/>
          <w:lang w:val="en-US"/>
        </w:rPr>
        <w:t>Institute for Palestine Studies</w:t>
      </w:r>
      <w:r w:rsidRPr="00A1260E">
        <w:rPr>
          <w:rFonts w:asciiTheme="majorBidi" w:hAnsiTheme="majorBidi" w:cstheme="majorBidi"/>
          <w:sz w:val="22"/>
          <w:szCs w:val="22"/>
        </w:rPr>
        <w:t xml:space="preserve">, </w:t>
      </w:r>
      <w:r w:rsidRPr="00A1260E">
        <w:rPr>
          <w:rFonts w:asciiTheme="majorBidi" w:hAnsiTheme="majorBidi" w:cstheme="majorBidi"/>
          <w:sz w:val="22"/>
          <w:szCs w:val="22"/>
          <w:lang w:val="en-US"/>
        </w:rPr>
        <w:t>Ramallah, Research fellowship, 2019-present.</w:t>
      </w:r>
    </w:p>
    <w:p w14:paraId="54FE8252" w14:textId="3BAB7F7C" w:rsidR="00BB54DB" w:rsidRPr="00624D64" w:rsidRDefault="00F03BF1" w:rsidP="00624D64">
      <w:pPr>
        <w:rPr>
          <w:rFonts w:asciiTheme="majorBidi" w:hAnsiTheme="majorBidi" w:cstheme="majorBidi"/>
        </w:rPr>
      </w:pPr>
      <w:r w:rsidRPr="00A1260E">
        <w:rPr>
          <w:rFonts w:asciiTheme="majorBidi" w:hAnsiTheme="majorBidi" w:cstheme="majorBidi"/>
          <w:b/>
          <w:bCs/>
          <w:sz w:val="22"/>
          <w:szCs w:val="22"/>
        </w:rPr>
        <w:t>Wissenschaftskolleg zu Berlin &amp; Zentrum Moderner Orient</w:t>
      </w:r>
      <w:r w:rsidRPr="00A1260E">
        <w:rPr>
          <w:rFonts w:asciiTheme="majorBidi" w:hAnsiTheme="majorBidi" w:cstheme="majorBidi"/>
          <w:sz w:val="22"/>
          <w:szCs w:val="22"/>
        </w:rPr>
        <w:t xml:space="preserve">, Berlin. Post-doctoral fellowship in the interdisciplinary research program “Europe in the Middle East – The Middle East in Europe,” 2009-2010. </w:t>
      </w:r>
    </w:p>
    <w:p w14:paraId="492EECA2" w14:textId="2C124C1B" w:rsidR="0083503B" w:rsidRPr="00A1260E" w:rsidRDefault="00F03BF1" w:rsidP="0067130F">
      <w:pPr>
        <w:rPr>
          <w:rFonts w:asciiTheme="majorBidi" w:hAnsiTheme="majorBidi" w:cstheme="majorBidi"/>
          <w:sz w:val="22"/>
          <w:szCs w:val="22"/>
        </w:rPr>
      </w:pPr>
      <w:r w:rsidRPr="00A1260E">
        <w:rPr>
          <w:rFonts w:asciiTheme="majorBidi" w:hAnsiTheme="majorBidi" w:cstheme="majorBidi"/>
          <w:b/>
          <w:bCs/>
          <w:sz w:val="22"/>
          <w:szCs w:val="22"/>
        </w:rPr>
        <w:t xml:space="preserve">International Center for Advanced Studies, New York University, </w:t>
      </w:r>
      <w:r w:rsidRPr="00A1260E">
        <w:rPr>
          <w:rFonts w:asciiTheme="majorBidi" w:hAnsiTheme="majorBidi" w:cstheme="majorBidi"/>
          <w:sz w:val="22"/>
          <w:szCs w:val="22"/>
        </w:rPr>
        <w:t xml:space="preserve">New York Dissertation writing fellowship, 2006. </w:t>
      </w:r>
    </w:p>
    <w:p w14:paraId="7E6B7E80" w14:textId="77777777" w:rsidR="0083503B" w:rsidRDefault="0083503B" w:rsidP="0067130F">
      <w:pPr>
        <w:rPr>
          <w:rFonts w:asciiTheme="majorBidi" w:hAnsiTheme="majorBidi" w:cstheme="majorBidi"/>
          <w:b/>
          <w:bCs/>
          <w:color w:val="FFFFFF" w:themeColor="background1"/>
          <w:sz w:val="22"/>
          <w:szCs w:val="22"/>
          <w:highlight w:val="black"/>
        </w:rPr>
      </w:pPr>
    </w:p>
    <w:p w14:paraId="04C2EFC1" w14:textId="291DFC79" w:rsidR="00F53DC8" w:rsidRPr="00A1260E" w:rsidRDefault="00F03BF1" w:rsidP="0067130F">
      <w:pPr>
        <w:rPr>
          <w:rFonts w:asciiTheme="majorBidi" w:hAnsiTheme="majorBidi" w:cstheme="majorBidi"/>
          <w:b/>
          <w:bCs/>
          <w:color w:val="FFFFFF" w:themeColor="background1"/>
          <w:sz w:val="22"/>
          <w:szCs w:val="22"/>
          <w:highlight w:val="black"/>
        </w:rPr>
      </w:pPr>
      <w:r w:rsidRPr="00A1260E">
        <w:rPr>
          <w:rFonts w:asciiTheme="majorBidi" w:hAnsiTheme="majorBidi" w:cstheme="majorBidi"/>
          <w:b/>
          <w:bCs/>
          <w:color w:val="FFFFFF" w:themeColor="background1"/>
          <w:sz w:val="22"/>
          <w:szCs w:val="22"/>
          <w:highlight w:val="black"/>
        </w:rPr>
        <w:t xml:space="preserve">PREVIOUS TEACHING EXPERIENCE </w:t>
      </w:r>
    </w:p>
    <w:p w14:paraId="4574797B" w14:textId="77777777" w:rsidR="00F03BF1" w:rsidRPr="00A1260E" w:rsidRDefault="00F03BF1" w:rsidP="0067130F">
      <w:pPr>
        <w:rPr>
          <w:rFonts w:asciiTheme="majorBidi" w:hAnsiTheme="majorBidi" w:cstheme="majorBidi"/>
        </w:rPr>
      </w:pPr>
      <w:r w:rsidRPr="00A1260E">
        <w:rPr>
          <w:rFonts w:asciiTheme="majorBidi" w:hAnsiTheme="majorBidi" w:cstheme="majorBidi"/>
          <w:b/>
          <w:bCs/>
          <w:sz w:val="22"/>
          <w:szCs w:val="22"/>
        </w:rPr>
        <w:t>Skidmore College</w:t>
      </w:r>
      <w:r w:rsidRPr="00A1260E">
        <w:rPr>
          <w:rFonts w:asciiTheme="majorBidi" w:hAnsiTheme="majorBidi" w:cstheme="majorBidi"/>
          <w:sz w:val="22"/>
          <w:szCs w:val="22"/>
        </w:rPr>
        <w:t xml:space="preserve">, Saratoga Springs, New York </w:t>
      </w:r>
    </w:p>
    <w:p w14:paraId="206550A2" w14:textId="1F0979BC" w:rsidR="00F03BF1" w:rsidRPr="00A1260E" w:rsidRDefault="00F03BF1" w:rsidP="0067130F">
      <w:pPr>
        <w:rPr>
          <w:rFonts w:asciiTheme="majorBidi" w:hAnsiTheme="majorBidi" w:cstheme="majorBidi"/>
          <w:sz w:val="22"/>
          <w:szCs w:val="22"/>
        </w:rPr>
      </w:pPr>
      <w:r w:rsidRPr="00A1260E">
        <w:rPr>
          <w:rFonts w:asciiTheme="majorBidi" w:hAnsiTheme="majorBidi" w:cstheme="majorBidi"/>
          <w:sz w:val="22"/>
          <w:szCs w:val="22"/>
        </w:rPr>
        <w:t xml:space="preserve">Visiting Assistant Professor, Department of History, 2008-2009. </w:t>
      </w:r>
    </w:p>
    <w:p w14:paraId="0040110C" w14:textId="4D625681" w:rsidR="00F377EF" w:rsidRPr="00A1260E" w:rsidRDefault="00F377EF" w:rsidP="0067130F">
      <w:pPr>
        <w:rPr>
          <w:rFonts w:asciiTheme="majorBidi" w:hAnsiTheme="majorBidi" w:cstheme="majorBidi"/>
          <w:sz w:val="22"/>
          <w:szCs w:val="22"/>
        </w:rPr>
      </w:pPr>
      <w:r w:rsidRPr="00A1260E">
        <w:rPr>
          <w:rFonts w:asciiTheme="majorBidi" w:hAnsiTheme="majorBidi" w:cstheme="majorBidi"/>
          <w:b/>
          <w:bCs/>
          <w:sz w:val="22"/>
          <w:szCs w:val="22"/>
        </w:rPr>
        <w:t>New York University</w:t>
      </w:r>
      <w:r w:rsidRPr="00A1260E">
        <w:rPr>
          <w:rFonts w:asciiTheme="majorBidi" w:hAnsiTheme="majorBidi" w:cstheme="majorBidi"/>
          <w:sz w:val="22"/>
          <w:szCs w:val="22"/>
        </w:rPr>
        <w:t>, New York, New York</w:t>
      </w:r>
    </w:p>
    <w:p w14:paraId="11AED40B" w14:textId="4AC5D125" w:rsidR="00342EA4" w:rsidRPr="00A1260E" w:rsidRDefault="00F377EF" w:rsidP="0067130F">
      <w:pPr>
        <w:rPr>
          <w:rFonts w:asciiTheme="majorBidi" w:hAnsiTheme="majorBidi" w:cstheme="majorBidi"/>
        </w:rPr>
      </w:pPr>
      <w:r w:rsidRPr="00A1260E">
        <w:rPr>
          <w:rFonts w:asciiTheme="majorBidi" w:hAnsiTheme="majorBidi" w:cstheme="majorBidi"/>
          <w:sz w:val="22"/>
          <w:szCs w:val="22"/>
        </w:rPr>
        <w:t>Morris Academic Plan (2000-2008), Reciter.</w:t>
      </w:r>
    </w:p>
    <w:p w14:paraId="2992C175" w14:textId="77777777" w:rsidR="00DE58BC" w:rsidRPr="00A1260E" w:rsidRDefault="00DE58BC" w:rsidP="0067130F">
      <w:pPr>
        <w:rPr>
          <w:rFonts w:asciiTheme="majorBidi" w:hAnsiTheme="majorBidi" w:cstheme="majorBidi"/>
          <w:b/>
          <w:bCs/>
          <w:color w:val="FFFFFF" w:themeColor="background1"/>
          <w:sz w:val="22"/>
          <w:szCs w:val="22"/>
          <w:highlight w:val="black"/>
          <w:lang w:val="en-US"/>
        </w:rPr>
      </w:pPr>
    </w:p>
    <w:p w14:paraId="38FD52D9" w14:textId="3D468EE4" w:rsidR="00BB54DB" w:rsidRPr="00624D64" w:rsidRDefault="00DE58BC" w:rsidP="00624D64">
      <w:pPr>
        <w:rPr>
          <w:rFonts w:asciiTheme="majorBidi" w:hAnsiTheme="majorBidi" w:cstheme="majorBidi"/>
          <w:b/>
          <w:bCs/>
          <w:color w:val="FFFFFF" w:themeColor="background1"/>
          <w:sz w:val="22"/>
          <w:szCs w:val="22"/>
          <w:highlight w:val="black"/>
          <w:lang w:val="en-US"/>
        </w:rPr>
      </w:pPr>
      <w:r w:rsidRPr="00A1260E">
        <w:rPr>
          <w:rFonts w:asciiTheme="majorBidi" w:hAnsiTheme="majorBidi" w:cstheme="majorBidi"/>
          <w:b/>
          <w:bCs/>
          <w:color w:val="FFFFFF" w:themeColor="background1"/>
          <w:sz w:val="22"/>
          <w:szCs w:val="22"/>
          <w:highlight w:val="black"/>
          <w:lang w:val="en-US"/>
        </w:rPr>
        <w:t xml:space="preserve">EDITTED VOLUMES </w:t>
      </w:r>
    </w:p>
    <w:p w14:paraId="4442E803" w14:textId="449C3DD8" w:rsidR="008773DF" w:rsidRPr="00A1260E" w:rsidRDefault="00835337" w:rsidP="0067130F">
      <w:pPr>
        <w:ind w:left="567" w:hanging="567"/>
        <w:rPr>
          <w:rFonts w:asciiTheme="majorBidi" w:hAnsiTheme="majorBidi" w:cstheme="majorBidi"/>
          <w:sz w:val="22"/>
          <w:szCs w:val="22"/>
          <w:rtl/>
        </w:rPr>
      </w:pPr>
      <w:r w:rsidRPr="00A1260E">
        <w:rPr>
          <w:rFonts w:asciiTheme="majorBidi" w:hAnsiTheme="majorBidi" w:cstheme="majorBidi"/>
          <w:sz w:val="22"/>
          <w:szCs w:val="22"/>
        </w:rPr>
        <w:t>Coeditor with Muna Dajani and Michael Mason,</w:t>
      </w:r>
      <w:r w:rsidRPr="00A1260E">
        <w:rPr>
          <w:rFonts w:asciiTheme="majorBidi" w:hAnsiTheme="majorBidi" w:cstheme="majorBidi"/>
          <w:sz w:val="22"/>
          <w:szCs w:val="22"/>
          <w:lang w:val="en-US"/>
        </w:rPr>
        <w:t xml:space="preserve"> </w:t>
      </w:r>
      <w:r w:rsidRPr="00A1260E">
        <w:rPr>
          <w:rFonts w:asciiTheme="majorBidi" w:hAnsiTheme="majorBidi" w:cstheme="majorBidi"/>
          <w:i/>
          <w:iCs/>
          <w:sz w:val="22"/>
          <w:szCs w:val="22"/>
          <w:lang w:val="en-US"/>
        </w:rPr>
        <w:t xml:space="preserve">The Untold Story of the Golan Heights: Occupation, </w:t>
      </w:r>
      <w:proofErr w:type="spellStart"/>
      <w:r w:rsidRPr="00A1260E">
        <w:rPr>
          <w:rFonts w:asciiTheme="majorBidi" w:hAnsiTheme="majorBidi" w:cstheme="majorBidi"/>
          <w:i/>
          <w:iCs/>
          <w:sz w:val="22"/>
          <w:szCs w:val="22"/>
          <w:lang w:val="en-US"/>
        </w:rPr>
        <w:t>Colonisation</w:t>
      </w:r>
      <w:proofErr w:type="spellEnd"/>
      <w:r w:rsidRPr="00A1260E">
        <w:rPr>
          <w:rFonts w:asciiTheme="majorBidi" w:hAnsiTheme="majorBidi" w:cstheme="majorBidi"/>
          <w:i/>
          <w:iCs/>
          <w:sz w:val="22"/>
          <w:szCs w:val="22"/>
          <w:lang w:val="en-US"/>
        </w:rPr>
        <w:t xml:space="preserve"> and Jawlani Resistance</w:t>
      </w:r>
      <w:r w:rsidRPr="00A1260E">
        <w:rPr>
          <w:rFonts w:asciiTheme="majorBidi" w:hAnsiTheme="majorBidi" w:cstheme="majorBidi"/>
          <w:i/>
          <w:iCs/>
          <w:sz w:val="22"/>
          <w:szCs w:val="22"/>
        </w:rPr>
        <w:t xml:space="preserve"> </w:t>
      </w:r>
      <w:r w:rsidRPr="00A1260E">
        <w:rPr>
          <w:rFonts w:asciiTheme="majorBidi" w:hAnsiTheme="majorBidi" w:cstheme="majorBidi"/>
          <w:sz w:val="22"/>
          <w:szCs w:val="22"/>
        </w:rPr>
        <w:t>(London: I.B. Tauris/Bloomsbury</w:t>
      </w:r>
      <w:r w:rsidR="0091572E" w:rsidRPr="00A1260E">
        <w:rPr>
          <w:rFonts w:asciiTheme="majorBidi" w:hAnsiTheme="majorBidi" w:cstheme="majorBidi"/>
          <w:sz w:val="22"/>
          <w:szCs w:val="22"/>
          <w:lang w:val="en-US"/>
        </w:rPr>
        <w:t>,</w:t>
      </w:r>
      <w:r w:rsidRPr="00A1260E">
        <w:rPr>
          <w:rFonts w:asciiTheme="majorBidi" w:hAnsiTheme="majorBidi" w:cstheme="majorBidi"/>
          <w:sz w:val="22"/>
          <w:szCs w:val="22"/>
        </w:rPr>
        <w:t xml:space="preserve"> 202</w:t>
      </w:r>
      <w:r w:rsidR="000B07F5" w:rsidRPr="00A1260E">
        <w:rPr>
          <w:rFonts w:asciiTheme="majorBidi" w:hAnsiTheme="majorBidi" w:cstheme="majorBidi"/>
          <w:sz w:val="22"/>
          <w:szCs w:val="22"/>
        </w:rPr>
        <w:t>2</w:t>
      </w:r>
      <w:r w:rsidRPr="00A1260E">
        <w:rPr>
          <w:rFonts w:asciiTheme="majorBidi" w:hAnsiTheme="majorBidi" w:cstheme="majorBidi"/>
          <w:sz w:val="22"/>
          <w:szCs w:val="22"/>
        </w:rPr>
        <w:t>).</w:t>
      </w:r>
      <w:r w:rsidR="000B07F5" w:rsidRPr="00A1260E">
        <w:rPr>
          <w:rFonts w:asciiTheme="majorBidi" w:hAnsiTheme="majorBidi" w:cstheme="majorBidi"/>
          <w:sz w:val="22"/>
          <w:szCs w:val="22"/>
        </w:rPr>
        <w:t xml:space="preserve"> </w:t>
      </w:r>
    </w:p>
    <w:p w14:paraId="23E638BC" w14:textId="13C6B29B" w:rsidR="00F53DC8" w:rsidRPr="00A1260E" w:rsidRDefault="00174BC9" w:rsidP="0067130F">
      <w:pPr>
        <w:ind w:left="567" w:hanging="567"/>
        <w:rPr>
          <w:rFonts w:asciiTheme="majorBidi" w:hAnsiTheme="majorBidi" w:cstheme="majorBidi"/>
          <w:sz w:val="22"/>
          <w:szCs w:val="22"/>
        </w:rPr>
      </w:pPr>
      <w:r w:rsidRPr="00A1260E">
        <w:rPr>
          <w:rFonts w:asciiTheme="majorBidi" w:hAnsiTheme="majorBidi" w:cstheme="majorBidi"/>
          <w:sz w:val="22"/>
          <w:szCs w:val="22"/>
        </w:rPr>
        <w:t>Chief Editor,</w:t>
      </w:r>
      <w:r w:rsidR="00F53DC8" w:rsidRPr="00A1260E">
        <w:rPr>
          <w:rFonts w:asciiTheme="majorBidi" w:hAnsiTheme="majorBidi" w:cstheme="majorBidi"/>
          <w:sz w:val="22"/>
          <w:szCs w:val="22"/>
        </w:rPr>
        <w:t xml:space="preserve"> </w:t>
      </w:r>
      <w:r w:rsidRPr="00A1260E">
        <w:rPr>
          <w:rFonts w:asciiTheme="majorBidi" w:hAnsiTheme="majorBidi" w:cstheme="majorBidi"/>
          <w:i/>
          <w:iCs/>
          <w:sz w:val="22"/>
          <w:szCs w:val="22"/>
        </w:rPr>
        <w:t>The General Survey of</w:t>
      </w:r>
      <w:r w:rsidRPr="00A1260E">
        <w:rPr>
          <w:rFonts w:asciiTheme="majorBidi" w:hAnsiTheme="majorBidi" w:cstheme="majorBidi"/>
          <w:sz w:val="22"/>
          <w:szCs w:val="22"/>
        </w:rPr>
        <w:t xml:space="preserve"> </w:t>
      </w:r>
      <w:r w:rsidR="00F53DC8" w:rsidRPr="00A1260E">
        <w:rPr>
          <w:rFonts w:asciiTheme="majorBidi" w:hAnsiTheme="majorBidi" w:cstheme="majorBidi"/>
          <w:i/>
          <w:iCs/>
          <w:sz w:val="22"/>
          <w:szCs w:val="22"/>
        </w:rPr>
        <w:t xml:space="preserve">Israel 2020 </w:t>
      </w:r>
      <w:r w:rsidR="00F53DC8" w:rsidRPr="00A1260E">
        <w:rPr>
          <w:rFonts w:asciiTheme="majorBidi" w:hAnsiTheme="majorBidi" w:cstheme="majorBidi"/>
          <w:sz w:val="22"/>
          <w:szCs w:val="22"/>
        </w:rPr>
        <w:t>[in Arabic] (Beirut/Ramallah: Institute for Palestine Studies, 2020</w:t>
      </w:r>
      <w:r w:rsidRPr="00A1260E">
        <w:rPr>
          <w:rFonts w:asciiTheme="majorBidi" w:hAnsiTheme="majorBidi" w:cstheme="majorBidi"/>
          <w:sz w:val="22"/>
          <w:szCs w:val="22"/>
        </w:rPr>
        <w:t xml:space="preserve"> </w:t>
      </w:r>
      <w:r w:rsidR="008773DF" w:rsidRPr="00A1260E">
        <w:rPr>
          <w:rFonts w:asciiTheme="majorBidi" w:hAnsiTheme="majorBidi" w:cstheme="majorBidi"/>
          <w:sz w:val="22"/>
          <w:szCs w:val="22"/>
        </w:rPr>
        <w:t>electric</w:t>
      </w:r>
      <w:r w:rsidRPr="00A1260E">
        <w:rPr>
          <w:rFonts w:asciiTheme="majorBidi" w:hAnsiTheme="majorBidi" w:cstheme="majorBidi"/>
          <w:sz w:val="22"/>
          <w:szCs w:val="22"/>
        </w:rPr>
        <w:t xml:space="preserve"> edition, 2021 hardcover edition</w:t>
      </w:r>
      <w:r w:rsidR="00F53DC8" w:rsidRPr="00A1260E">
        <w:rPr>
          <w:rFonts w:asciiTheme="majorBidi" w:hAnsiTheme="majorBidi" w:cstheme="majorBidi"/>
          <w:sz w:val="22"/>
          <w:szCs w:val="22"/>
        </w:rPr>
        <w:t xml:space="preserve">) </w:t>
      </w:r>
    </w:p>
    <w:p w14:paraId="521B4C9A" w14:textId="77777777" w:rsidR="00F03BF1" w:rsidRPr="00A1260E" w:rsidRDefault="00F03BF1" w:rsidP="0067130F">
      <w:pPr>
        <w:ind w:left="567" w:hanging="567"/>
        <w:rPr>
          <w:rFonts w:asciiTheme="majorBidi" w:hAnsiTheme="majorBidi" w:cstheme="majorBidi"/>
        </w:rPr>
      </w:pPr>
      <w:r w:rsidRPr="00A1260E">
        <w:rPr>
          <w:rFonts w:asciiTheme="majorBidi" w:hAnsiTheme="majorBidi" w:cstheme="majorBidi"/>
          <w:sz w:val="22"/>
          <w:szCs w:val="22"/>
        </w:rPr>
        <w:t xml:space="preserve">Coeditor with Jamil Hilal and Khalid Farraj, </w:t>
      </w:r>
      <w:r w:rsidRPr="00A1260E">
        <w:rPr>
          <w:rFonts w:asciiTheme="majorBidi" w:hAnsiTheme="majorBidi" w:cstheme="majorBidi"/>
          <w:i/>
          <w:iCs/>
          <w:sz w:val="22"/>
          <w:szCs w:val="22"/>
        </w:rPr>
        <w:t xml:space="preserve">Palestine Internationally: The rise of the right in the world and redrawing of challenges </w:t>
      </w:r>
      <w:r w:rsidRPr="00A1260E">
        <w:rPr>
          <w:rFonts w:asciiTheme="majorBidi" w:hAnsiTheme="majorBidi" w:cstheme="majorBidi"/>
          <w:sz w:val="22"/>
          <w:szCs w:val="22"/>
        </w:rPr>
        <w:t xml:space="preserve">[in Arabic] (Beirut/Ramallah: Institute for Palestine Studies, 2018) </w:t>
      </w:r>
    </w:p>
    <w:p w14:paraId="209182F1" w14:textId="61FF416D" w:rsidR="00F53DC8" w:rsidRPr="00A1260E" w:rsidRDefault="00F03BF1" w:rsidP="0067130F">
      <w:pPr>
        <w:ind w:left="567" w:hanging="567"/>
        <w:rPr>
          <w:rFonts w:asciiTheme="majorBidi" w:hAnsiTheme="majorBidi" w:cstheme="majorBidi"/>
          <w:sz w:val="22"/>
          <w:szCs w:val="22"/>
        </w:rPr>
      </w:pPr>
      <w:r w:rsidRPr="00A1260E">
        <w:rPr>
          <w:rFonts w:asciiTheme="majorBidi" w:hAnsiTheme="majorBidi" w:cstheme="majorBidi"/>
          <w:sz w:val="22"/>
          <w:szCs w:val="22"/>
        </w:rPr>
        <w:lastRenderedPageBreak/>
        <w:t xml:space="preserve">Coeditor with Jamil Hilal and Khalid Farraj, </w:t>
      </w:r>
      <w:r w:rsidRPr="00A1260E">
        <w:rPr>
          <w:rFonts w:asciiTheme="majorBidi" w:hAnsiTheme="majorBidi" w:cstheme="majorBidi"/>
          <w:i/>
          <w:iCs/>
          <w:sz w:val="22"/>
          <w:szCs w:val="22"/>
        </w:rPr>
        <w:t xml:space="preserve">Israel and the Question of Palestine </w:t>
      </w:r>
      <w:r w:rsidRPr="00A1260E">
        <w:rPr>
          <w:rFonts w:asciiTheme="majorBidi" w:hAnsiTheme="majorBidi" w:cstheme="majorBidi"/>
          <w:sz w:val="22"/>
          <w:szCs w:val="22"/>
        </w:rPr>
        <w:t xml:space="preserve">[in Arabic] (Beirut/Ramallah: Institute for Palestine Studies, 2017) </w:t>
      </w:r>
    </w:p>
    <w:p w14:paraId="187DD32F" w14:textId="6CD9FAF8" w:rsidR="00BE152B" w:rsidRPr="00A1260E" w:rsidRDefault="00BE152B" w:rsidP="0067130F">
      <w:pPr>
        <w:ind w:left="567" w:hanging="567"/>
        <w:rPr>
          <w:rFonts w:asciiTheme="majorBidi" w:hAnsiTheme="majorBidi" w:cstheme="majorBidi"/>
          <w:sz w:val="22"/>
          <w:szCs w:val="22"/>
        </w:rPr>
      </w:pPr>
      <w:r w:rsidRPr="00A1260E">
        <w:rPr>
          <w:rFonts w:asciiTheme="majorBidi" w:hAnsiTheme="majorBidi" w:cstheme="majorBidi"/>
          <w:sz w:val="22"/>
          <w:szCs w:val="22"/>
        </w:rPr>
        <w:t>Coauthor</w:t>
      </w:r>
      <w:r w:rsidRPr="00A1260E">
        <w:rPr>
          <w:rFonts w:asciiTheme="majorBidi" w:hAnsiTheme="majorBidi" w:cstheme="majorBidi"/>
          <w:sz w:val="22"/>
          <w:szCs w:val="22"/>
          <w:lang w:val="en-US"/>
        </w:rPr>
        <w:t>ed</w:t>
      </w:r>
      <w:r w:rsidRPr="00A1260E">
        <w:rPr>
          <w:rFonts w:asciiTheme="majorBidi" w:hAnsiTheme="majorBidi" w:cstheme="majorBidi"/>
          <w:sz w:val="22"/>
          <w:szCs w:val="22"/>
        </w:rPr>
        <w:t xml:space="preserve"> with Salim Tamari, </w:t>
      </w:r>
      <w:r w:rsidRPr="00A1260E">
        <w:rPr>
          <w:rFonts w:asciiTheme="majorBidi" w:hAnsiTheme="majorBidi" w:cstheme="majorBidi"/>
          <w:i/>
          <w:iCs/>
          <w:sz w:val="22"/>
          <w:szCs w:val="22"/>
        </w:rPr>
        <w:t xml:space="preserve">Property Records in the Old City of Jerusalem </w:t>
      </w:r>
      <w:r w:rsidRPr="00A1260E">
        <w:rPr>
          <w:rFonts w:asciiTheme="majorBidi" w:hAnsiTheme="majorBidi" w:cstheme="majorBidi"/>
          <w:sz w:val="22"/>
          <w:szCs w:val="22"/>
        </w:rPr>
        <w:t xml:space="preserve">[in Arabic] (Beirut/Ramallah: Institute for Palestine Studies, 2017) </w:t>
      </w:r>
    </w:p>
    <w:p w14:paraId="23161252" w14:textId="77777777" w:rsidR="00DE58BC" w:rsidRPr="00A1260E" w:rsidRDefault="00DE58BC" w:rsidP="0067130F">
      <w:pPr>
        <w:rPr>
          <w:rFonts w:asciiTheme="majorBidi" w:hAnsiTheme="majorBidi" w:cstheme="majorBidi"/>
          <w:b/>
          <w:bCs/>
          <w:color w:val="FFFFFF" w:themeColor="background1"/>
          <w:sz w:val="22"/>
          <w:szCs w:val="22"/>
          <w:highlight w:val="black"/>
          <w:lang w:val="en-US"/>
        </w:rPr>
      </w:pPr>
    </w:p>
    <w:p w14:paraId="42388CA1" w14:textId="56E4884F" w:rsidR="00BB54DB" w:rsidRPr="00624D64" w:rsidRDefault="00BE152B" w:rsidP="00624D64">
      <w:pPr>
        <w:rPr>
          <w:rFonts w:asciiTheme="majorBidi" w:hAnsiTheme="majorBidi" w:cstheme="majorBidi"/>
          <w:b/>
          <w:bCs/>
          <w:color w:val="FFFFFF" w:themeColor="background1"/>
          <w:sz w:val="22"/>
          <w:szCs w:val="22"/>
          <w:highlight w:val="black"/>
          <w:lang w:val="en-US"/>
        </w:rPr>
      </w:pPr>
      <w:r w:rsidRPr="00A1260E">
        <w:rPr>
          <w:rFonts w:asciiTheme="majorBidi" w:hAnsiTheme="majorBidi" w:cstheme="majorBidi"/>
          <w:b/>
          <w:bCs/>
          <w:color w:val="FFFFFF" w:themeColor="background1"/>
          <w:sz w:val="22"/>
          <w:szCs w:val="22"/>
          <w:highlight w:val="black"/>
          <w:lang w:val="en-US"/>
        </w:rPr>
        <w:t>B</w:t>
      </w:r>
      <w:r w:rsidR="00DE58BC" w:rsidRPr="00A1260E">
        <w:rPr>
          <w:rFonts w:asciiTheme="majorBidi" w:hAnsiTheme="majorBidi" w:cstheme="majorBidi"/>
          <w:b/>
          <w:bCs/>
          <w:color w:val="FFFFFF" w:themeColor="background1"/>
          <w:sz w:val="22"/>
          <w:szCs w:val="22"/>
          <w:highlight w:val="black"/>
          <w:lang w:val="en-US"/>
        </w:rPr>
        <w:t>OOK CHAPTERS</w:t>
      </w:r>
    </w:p>
    <w:p w14:paraId="13FD95C4" w14:textId="331831BA" w:rsidR="00BE152B" w:rsidRPr="00A1260E" w:rsidRDefault="00BE152B" w:rsidP="0067130F">
      <w:pPr>
        <w:ind w:left="567" w:hanging="567"/>
        <w:rPr>
          <w:rFonts w:asciiTheme="majorBidi" w:hAnsiTheme="majorBidi" w:cstheme="majorBidi"/>
          <w:sz w:val="22"/>
          <w:szCs w:val="22"/>
        </w:rPr>
      </w:pPr>
      <w:r w:rsidRPr="00A1260E">
        <w:rPr>
          <w:rFonts w:asciiTheme="majorBidi" w:hAnsiTheme="majorBidi" w:cstheme="majorBidi"/>
          <w:sz w:val="22"/>
          <w:szCs w:val="22"/>
        </w:rPr>
        <w:t xml:space="preserve">“Mapping the Politics of the Governed among the Jawlanis: A Semiotic Approach,” in Dajani, Fakher Eldin, and Mason (eds.), </w:t>
      </w:r>
      <w:r w:rsidRPr="0083503B">
        <w:rPr>
          <w:rFonts w:asciiTheme="majorBidi" w:hAnsiTheme="majorBidi" w:cstheme="majorBidi"/>
          <w:i/>
          <w:iCs/>
          <w:sz w:val="22"/>
          <w:szCs w:val="22"/>
        </w:rPr>
        <w:t>The Untold Story of the Golan Heights: Occupation, Colonisation and Jawlani Resistance</w:t>
      </w:r>
      <w:r w:rsidRPr="00A1260E">
        <w:rPr>
          <w:rFonts w:asciiTheme="majorBidi" w:hAnsiTheme="majorBidi" w:cstheme="majorBidi"/>
          <w:sz w:val="22"/>
          <w:szCs w:val="22"/>
        </w:rPr>
        <w:t xml:space="preserve"> (London: I.B. Tauris/Bloomsbury, 2022). </w:t>
      </w:r>
    </w:p>
    <w:p w14:paraId="56D4FD7E" w14:textId="6E0F548B" w:rsidR="00BE152B" w:rsidRPr="00A1260E" w:rsidRDefault="00BE152B" w:rsidP="0067130F">
      <w:pPr>
        <w:ind w:left="567" w:hanging="567"/>
        <w:rPr>
          <w:rFonts w:asciiTheme="majorBidi" w:hAnsiTheme="majorBidi" w:cstheme="majorBidi"/>
          <w:sz w:val="22"/>
          <w:szCs w:val="22"/>
        </w:rPr>
      </w:pPr>
      <w:r w:rsidRPr="00A1260E">
        <w:rPr>
          <w:rFonts w:asciiTheme="majorBidi" w:hAnsiTheme="majorBidi" w:cstheme="majorBidi"/>
          <w:sz w:val="22"/>
          <w:szCs w:val="22"/>
        </w:rPr>
        <w:t xml:space="preserve">Coauthored with Wael Tarabieh, “Sculptures in Jawlani Public Places: Reflections on the Work of Identity,” in Dajani, Fakher Eldin, and Mason (eds.), </w:t>
      </w:r>
      <w:r w:rsidRPr="0083503B">
        <w:rPr>
          <w:rFonts w:asciiTheme="majorBidi" w:hAnsiTheme="majorBidi" w:cstheme="majorBidi"/>
          <w:i/>
          <w:iCs/>
          <w:sz w:val="22"/>
          <w:szCs w:val="22"/>
        </w:rPr>
        <w:t>The Untold Story of the Golan Heights: Occupation, Colonisation and Jawlani Resistance</w:t>
      </w:r>
      <w:r w:rsidRPr="00A1260E">
        <w:rPr>
          <w:rFonts w:asciiTheme="majorBidi" w:hAnsiTheme="majorBidi" w:cstheme="majorBidi"/>
          <w:sz w:val="22"/>
          <w:szCs w:val="22"/>
        </w:rPr>
        <w:t xml:space="preserve"> (London: I.B. Tauris/Bloomsbury</w:t>
      </w:r>
      <w:r w:rsidR="0091572E" w:rsidRPr="00A1260E">
        <w:rPr>
          <w:rFonts w:asciiTheme="majorBidi" w:hAnsiTheme="majorBidi" w:cstheme="majorBidi"/>
          <w:sz w:val="22"/>
          <w:szCs w:val="22"/>
          <w:lang w:val="en-US"/>
        </w:rPr>
        <w:t>,</w:t>
      </w:r>
      <w:r w:rsidRPr="00A1260E">
        <w:rPr>
          <w:rFonts w:asciiTheme="majorBidi" w:hAnsiTheme="majorBidi" w:cstheme="majorBidi"/>
          <w:sz w:val="22"/>
          <w:szCs w:val="22"/>
        </w:rPr>
        <w:t xml:space="preserve"> 2022). </w:t>
      </w:r>
    </w:p>
    <w:p w14:paraId="7D8A6927" w14:textId="017DEC0A" w:rsidR="00835337" w:rsidRPr="00A1260E" w:rsidRDefault="00C9686B" w:rsidP="0067130F">
      <w:pPr>
        <w:ind w:left="567" w:hanging="567"/>
        <w:rPr>
          <w:rFonts w:asciiTheme="majorBidi" w:hAnsiTheme="majorBidi" w:cstheme="majorBidi"/>
          <w:sz w:val="22"/>
          <w:szCs w:val="22"/>
        </w:rPr>
      </w:pPr>
      <w:r w:rsidRPr="00A1260E">
        <w:rPr>
          <w:rFonts w:asciiTheme="majorBidi" w:hAnsiTheme="majorBidi" w:cstheme="majorBidi"/>
          <w:sz w:val="22"/>
          <w:szCs w:val="22"/>
        </w:rPr>
        <w:t>“</w:t>
      </w:r>
      <w:r w:rsidR="00957078" w:rsidRPr="00A1260E">
        <w:rPr>
          <w:rFonts w:asciiTheme="majorBidi" w:hAnsiTheme="majorBidi" w:cstheme="majorBidi"/>
          <w:sz w:val="22"/>
          <w:szCs w:val="22"/>
        </w:rPr>
        <w:t xml:space="preserve">After Property: The Sakhina Struggle in Late Ottoman and British-Ruled Palestine, 1876–1948,” in Daniel Heath Justice and Jean M. O’Brien (eds.), </w:t>
      </w:r>
      <w:r w:rsidR="00835337" w:rsidRPr="00A1260E">
        <w:rPr>
          <w:rFonts w:asciiTheme="majorBidi" w:hAnsiTheme="majorBidi" w:cstheme="majorBidi"/>
          <w:i/>
          <w:iCs/>
          <w:sz w:val="22"/>
          <w:szCs w:val="22"/>
          <w:lang w:val="en-US"/>
        </w:rPr>
        <w:t>Allotment Stories: Indigenous Land Relations under Settler Siege</w:t>
      </w:r>
      <w:r w:rsidR="00835337" w:rsidRPr="00A1260E">
        <w:rPr>
          <w:rFonts w:asciiTheme="majorBidi" w:hAnsiTheme="majorBidi" w:cstheme="majorBidi"/>
          <w:sz w:val="22"/>
          <w:szCs w:val="22"/>
          <w:lang w:val="en-US"/>
        </w:rPr>
        <w:t xml:space="preserve"> </w:t>
      </w:r>
      <w:r w:rsidR="00957078" w:rsidRPr="00A1260E">
        <w:rPr>
          <w:rFonts w:asciiTheme="majorBidi" w:hAnsiTheme="majorBidi" w:cstheme="majorBidi"/>
          <w:sz w:val="22"/>
          <w:szCs w:val="22"/>
        </w:rPr>
        <w:t>(</w:t>
      </w:r>
      <w:r w:rsidR="003B11C8" w:rsidRPr="00A1260E">
        <w:rPr>
          <w:rFonts w:asciiTheme="majorBidi" w:hAnsiTheme="majorBidi" w:cstheme="majorBidi"/>
          <w:sz w:val="22"/>
          <w:szCs w:val="22"/>
          <w:lang w:val="en-US"/>
        </w:rPr>
        <w:t>Minneapolis</w:t>
      </w:r>
      <w:r w:rsidR="00957078" w:rsidRPr="00A1260E">
        <w:rPr>
          <w:rFonts w:asciiTheme="majorBidi" w:hAnsiTheme="majorBidi" w:cstheme="majorBidi"/>
          <w:sz w:val="22"/>
          <w:szCs w:val="22"/>
        </w:rPr>
        <w:t xml:space="preserve">: Minnesota University Press, </w:t>
      </w:r>
      <w:r w:rsidR="003B11C8" w:rsidRPr="00A1260E">
        <w:rPr>
          <w:rFonts w:asciiTheme="majorBidi" w:hAnsiTheme="majorBidi" w:cstheme="majorBidi"/>
          <w:sz w:val="22"/>
          <w:szCs w:val="22"/>
        </w:rPr>
        <w:t>2022</w:t>
      </w:r>
      <w:r w:rsidR="00BE152B" w:rsidRPr="00A1260E">
        <w:rPr>
          <w:rFonts w:asciiTheme="majorBidi" w:hAnsiTheme="majorBidi" w:cstheme="majorBidi"/>
          <w:sz w:val="22"/>
          <w:szCs w:val="22"/>
          <w:lang w:val="en-US"/>
        </w:rPr>
        <w:t>).</w:t>
      </w:r>
    </w:p>
    <w:p w14:paraId="3A6A41CC" w14:textId="4394071A" w:rsidR="00F03BF1" w:rsidRPr="00A1260E" w:rsidRDefault="00F03BF1" w:rsidP="0067130F">
      <w:pPr>
        <w:ind w:left="567" w:hanging="567"/>
        <w:rPr>
          <w:rFonts w:asciiTheme="majorBidi" w:hAnsiTheme="majorBidi" w:cstheme="majorBidi"/>
        </w:rPr>
      </w:pPr>
      <w:r w:rsidRPr="00A1260E">
        <w:rPr>
          <w:rFonts w:asciiTheme="majorBidi" w:hAnsiTheme="majorBidi" w:cstheme="majorBidi"/>
          <w:sz w:val="22"/>
          <w:szCs w:val="22"/>
        </w:rPr>
        <w:t xml:space="preserve">“Palestinians Trapped in Israeli Planning Policies,” [Arabic] in Jamil Hilal, Munir Fakher Eldin, and Khalid Farraj (eds.) </w:t>
      </w:r>
      <w:r w:rsidRPr="00A1260E">
        <w:rPr>
          <w:rFonts w:asciiTheme="majorBidi" w:hAnsiTheme="majorBidi" w:cstheme="majorBidi"/>
          <w:i/>
          <w:iCs/>
          <w:sz w:val="22"/>
          <w:szCs w:val="22"/>
        </w:rPr>
        <w:t xml:space="preserve">Israel and the Question of Palestine </w:t>
      </w:r>
      <w:r w:rsidRPr="00A1260E">
        <w:rPr>
          <w:rFonts w:asciiTheme="majorBidi" w:hAnsiTheme="majorBidi" w:cstheme="majorBidi"/>
          <w:sz w:val="22"/>
          <w:szCs w:val="22"/>
        </w:rPr>
        <w:t xml:space="preserve">[Arabic] (Beirut/Ramallah: Institute for Palestine Studies, 2017) </w:t>
      </w:r>
    </w:p>
    <w:p w14:paraId="196B1131" w14:textId="77777777" w:rsidR="00F03BF1" w:rsidRPr="00A1260E" w:rsidRDefault="00F03BF1" w:rsidP="0067130F">
      <w:pPr>
        <w:ind w:left="567" w:hanging="567"/>
        <w:rPr>
          <w:rFonts w:asciiTheme="majorBidi" w:hAnsiTheme="majorBidi" w:cstheme="majorBidi"/>
        </w:rPr>
      </w:pPr>
      <w:r w:rsidRPr="00A1260E">
        <w:rPr>
          <w:rFonts w:asciiTheme="majorBidi" w:hAnsiTheme="majorBidi" w:cstheme="majorBidi"/>
          <w:sz w:val="22"/>
          <w:szCs w:val="22"/>
        </w:rPr>
        <w:t xml:space="preserve">“La société golanaise au prisme de la révolte,” in François Burgat &amp; Bruno Paoli (eds.) </w:t>
      </w:r>
      <w:r w:rsidRPr="00A1260E">
        <w:rPr>
          <w:rFonts w:asciiTheme="majorBidi" w:hAnsiTheme="majorBidi" w:cstheme="majorBidi"/>
          <w:i/>
          <w:iCs/>
          <w:sz w:val="22"/>
          <w:szCs w:val="22"/>
        </w:rPr>
        <w:t xml:space="preserve">Pas de printemps pour la Syrie? Acteurs et enjeux de la crise 2011-1013 </w:t>
      </w:r>
      <w:r w:rsidRPr="00A1260E">
        <w:rPr>
          <w:rFonts w:asciiTheme="majorBidi" w:hAnsiTheme="majorBidi" w:cstheme="majorBidi"/>
          <w:sz w:val="22"/>
          <w:szCs w:val="22"/>
        </w:rPr>
        <w:t xml:space="preserve">(Paris: La Découverte, 2013). </w:t>
      </w:r>
    </w:p>
    <w:p w14:paraId="3B7F55B9" w14:textId="77777777" w:rsidR="00F03BF1" w:rsidRPr="00A1260E" w:rsidRDefault="00F03BF1" w:rsidP="0067130F">
      <w:pPr>
        <w:ind w:left="567" w:hanging="567"/>
        <w:rPr>
          <w:rFonts w:asciiTheme="majorBidi" w:hAnsiTheme="majorBidi" w:cstheme="majorBidi"/>
        </w:rPr>
      </w:pPr>
      <w:r w:rsidRPr="00A1260E">
        <w:rPr>
          <w:rFonts w:asciiTheme="majorBidi" w:hAnsiTheme="majorBidi" w:cstheme="majorBidi"/>
          <w:b/>
          <w:bCs/>
          <w:sz w:val="22"/>
          <w:szCs w:val="22"/>
        </w:rPr>
        <w:t>“</w:t>
      </w:r>
      <w:r w:rsidRPr="00A1260E">
        <w:rPr>
          <w:rFonts w:asciiTheme="majorBidi" w:hAnsiTheme="majorBidi" w:cstheme="majorBidi"/>
          <w:sz w:val="22"/>
          <w:szCs w:val="22"/>
        </w:rPr>
        <w:t xml:space="preserve">Silvestre de Sacy et les Druzes: réflexions sur la politique du savoir et l’utilisation conjoncturelle des traditions,” in Michael Spain, Nora Lafi, and Pascale Rabault-Feuerhahn (eds.) </w:t>
      </w:r>
      <w:r w:rsidRPr="00A1260E">
        <w:rPr>
          <w:rFonts w:asciiTheme="majorBidi" w:hAnsiTheme="majorBidi" w:cstheme="majorBidi"/>
          <w:i/>
          <w:iCs/>
          <w:sz w:val="22"/>
          <w:szCs w:val="22"/>
        </w:rPr>
        <w:t xml:space="preserve">Silvestre de Sacy: Le projet européen d’une science orientaliste </w:t>
      </w:r>
      <w:r w:rsidRPr="00A1260E">
        <w:rPr>
          <w:rFonts w:asciiTheme="majorBidi" w:hAnsiTheme="majorBidi" w:cstheme="majorBidi"/>
          <w:sz w:val="22"/>
          <w:szCs w:val="22"/>
        </w:rPr>
        <w:t xml:space="preserve">(Paris: Éditions du Cerf, 2014). </w:t>
      </w:r>
    </w:p>
    <w:p w14:paraId="2355B6A7" w14:textId="7E459315" w:rsidR="00F53DC8" w:rsidRPr="00A1260E" w:rsidRDefault="00F03BF1" w:rsidP="0067130F">
      <w:pPr>
        <w:ind w:left="567" w:hanging="567"/>
        <w:rPr>
          <w:rFonts w:asciiTheme="majorBidi" w:hAnsiTheme="majorBidi" w:cstheme="majorBidi"/>
          <w:sz w:val="22"/>
          <w:szCs w:val="22"/>
        </w:rPr>
      </w:pPr>
      <w:r w:rsidRPr="00A1260E">
        <w:rPr>
          <w:rFonts w:asciiTheme="majorBidi" w:hAnsiTheme="majorBidi" w:cstheme="majorBidi"/>
          <w:sz w:val="22"/>
          <w:szCs w:val="22"/>
        </w:rPr>
        <w:t xml:space="preserve">“A Historian’s Task: Make sure the object does not turn against itself in the museum,” in Martin Hager (ed.) </w:t>
      </w:r>
      <w:r w:rsidRPr="00A1260E">
        <w:rPr>
          <w:rFonts w:asciiTheme="majorBidi" w:hAnsiTheme="majorBidi" w:cstheme="majorBidi"/>
          <w:i/>
          <w:iCs/>
          <w:sz w:val="22"/>
          <w:szCs w:val="22"/>
        </w:rPr>
        <w:t xml:space="preserve">Islamic Art and the Museum </w:t>
      </w:r>
      <w:r w:rsidRPr="00A1260E">
        <w:rPr>
          <w:rFonts w:asciiTheme="majorBidi" w:hAnsiTheme="majorBidi" w:cstheme="majorBidi"/>
          <w:sz w:val="22"/>
          <w:szCs w:val="22"/>
        </w:rPr>
        <w:t xml:space="preserve">(London: Saqi Books, 2012), 135-138. </w:t>
      </w:r>
    </w:p>
    <w:p w14:paraId="12B56027" w14:textId="77777777" w:rsidR="00DE58BC" w:rsidRPr="00A1260E" w:rsidRDefault="00DE58BC" w:rsidP="0067130F">
      <w:pPr>
        <w:rPr>
          <w:rFonts w:asciiTheme="majorBidi" w:hAnsiTheme="majorBidi" w:cstheme="majorBidi"/>
          <w:sz w:val="22"/>
          <w:szCs w:val="22"/>
        </w:rPr>
      </w:pPr>
    </w:p>
    <w:p w14:paraId="27E03C89" w14:textId="184E237B" w:rsidR="00BB54DB" w:rsidRPr="00624D64" w:rsidRDefault="00DE58BC" w:rsidP="00624D64">
      <w:pPr>
        <w:rPr>
          <w:rFonts w:asciiTheme="majorBidi" w:hAnsiTheme="majorBidi" w:cstheme="majorBidi"/>
          <w:b/>
          <w:bCs/>
          <w:color w:val="FFFFFF" w:themeColor="background1"/>
          <w:sz w:val="22"/>
          <w:szCs w:val="22"/>
          <w:highlight w:val="black"/>
        </w:rPr>
      </w:pPr>
      <w:r w:rsidRPr="00A1260E">
        <w:rPr>
          <w:rFonts w:asciiTheme="majorBidi" w:hAnsiTheme="majorBidi" w:cstheme="majorBidi"/>
          <w:b/>
          <w:bCs/>
          <w:color w:val="FFFFFF" w:themeColor="background1"/>
          <w:sz w:val="22"/>
          <w:szCs w:val="22"/>
          <w:highlight w:val="black"/>
          <w:lang w:val="en-US"/>
        </w:rPr>
        <w:t xml:space="preserve">PEER-REVIEWED AND ACADEMIC </w:t>
      </w:r>
      <w:r w:rsidR="00F03BF1" w:rsidRPr="00A1260E">
        <w:rPr>
          <w:rFonts w:asciiTheme="majorBidi" w:hAnsiTheme="majorBidi" w:cstheme="majorBidi"/>
          <w:b/>
          <w:bCs/>
          <w:color w:val="FFFFFF" w:themeColor="background1"/>
          <w:sz w:val="22"/>
          <w:szCs w:val="22"/>
          <w:highlight w:val="black"/>
        </w:rPr>
        <w:t xml:space="preserve">ARTICLES </w:t>
      </w:r>
    </w:p>
    <w:p w14:paraId="2C2F9ADE" w14:textId="74DEF169" w:rsidR="00961BF0" w:rsidRPr="00A1260E" w:rsidRDefault="00961BF0" w:rsidP="0067130F">
      <w:pPr>
        <w:ind w:left="567" w:hanging="567"/>
        <w:rPr>
          <w:rFonts w:asciiTheme="majorBidi" w:hAnsiTheme="majorBidi" w:cstheme="majorBidi"/>
          <w:sz w:val="22"/>
          <w:szCs w:val="22"/>
        </w:rPr>
      </w:pPr>
      <w:r w:rsidRPr="00A1260E">
        <w:rPr>
          <w:rFonts w:asciiTheme="majorBidi" w:hAnsiTheme="majorBidi" w:cstheme="majorBidi"/>
          <w:sz w:val="22"/>
          <w:szCs w:val="22"/>
        </w:rPr>
        <w:t>“</w:t>
      </w:r>
      <w:r w:rsidR="00DE58BC" w:rsidRPr="00A1260E">
        <w:rPr>
          <w:rFonts w:asciiTheme="majorBidi" w:hAnsiTheme="majorBidi" w:cstheme="majorBidi"/>
          <w:sz w:val="22"/>
          <w:szCs w:val="22"/>
        </w:rPr>
        <w:t>The Middle Class and the Land Struggle in Palestine: Revisiting the Colonial Encounter in the Beisan Valley, 1908–1948</w:t>
      </w:r>
      <w:r w:rsidRPr="00A1260E">
        <w:rPr>
          <w:rFonts w:asciiTheme="majorBidi" w:hAnsiTheme="majorBidi" w:cstheme="majorBidi"/>
          <w:sz w:val="22"/>
          <w:szCs w:val="22"/>
        </w:rPr>
        <w:t xml:space="preserve">,” </w:t>
      </w:r>
      <w:r w:rsidRPr="00A1260E">
        <w:rPr>
          <w:rFonts w:asciiTheme="majorBidi" w:hAnsiTheme="majorBidi" w:cstheme="majorBidi"/>
          <w:i/>
          <w:iCs/>
          <w:sz w:val="22"/>
          <w:szCs w:val="22"/>
        </w:rPr>
        <w:t>Comparative Studies of South Asia, Africa and the Middle East</w:t>
      </w:r>
      <w:r w:rsidRPr="00A1260E">
        <w:rPr>
          <w:rFonts w:asciiTheme="majorBidi" w:hAnsiTheme="majorBidi" w:cstheme="majorBidi"/>
          <w:i/>
          <w:iCs/>
          <w:sz w:val="22"/>
          <w:szCs w:val="22"/>
          <w:lang w:val="en-US"/>
        </w:rPr>
        <w:t xml:space="preserve"> </w:t>
      </w:r>
      <w:r w:rsidR="00765FE0" w:rsidRPr="00A1260E">
        <w:rPr>
          <w:rFonts w:asciiTheme="majorBidi" w:hAnsiTheme="majorBidi" w:cstheme="majorBidi"/>
          <w:sz w:val="22"/>
          <w:szCs w:val="22"/>
          <w:lang w:val="en-US"/>
        </w:rPr>
        <w:t>(</w:t>
      </w:r>
      <w:r w:rsidR="0091572E" w:rsidRPr="00A1260E">
        <w:rPr>
          <w:rFonts w:asciiTheme="majorBidi" w:hAnsiTheme="majorBidi" w:cstheme="majorBidi"/>
          <w:sz w:val="22"/>
          <w:szCs w:val="22"/>
          <w:lang w:val="en-US"/>
        </w:rPr>
        <w:t>forthcoming, accepted</w:t>
      </w:r>
      <w:r w:rsidRPr="00A1260E">
        <w:rPr>
          <w:rFonts w:asciiTheme="majorBidi" w:hAnsiTheme="majorBidi" w:cstheme="majorBidi"/>
          <w:sz w:val="22"/>
          <w:szCs w:val="22"/>
          <w:lang w:val="en-US"/>
        </w:rPr>
        <w:t xml:space="preserve"> for as a special section article “Who Owns Palestine?”</w:t>
      </w:r>
      <w:r w:rsidR="00765FE0" w:rsidRPr="00A1260E">
        <w:rPr>
          <w:rFonts w:asciiTheme="majorBidi" w:hAnsiTheme="majorBidi" w:cstheme="majorBidi"/>
          <w:sz w:val="22"/>
          <w:szCs w:val="22"/>
          <w:lang w:val="en-US"/>
        </w:rPr>
        <w:t>).</w:t>
      </w:r>
    </w:p>
    <w:p w14:paraId="5F459C8A" w14:textId="594E35E8" w:rsidR="00F37D16" w:rsidRPr="00A1260E" w:rsidRDefault="00765FE0" w:rsidP="0067130F">
      <w:pPr>
        <w:pStyle w:val="NormalWeb"/>
        <w:spacing w:before="0" w:beforeAutospacing="0" w:after="0" w:afterAutospacing="0"/>
        <w:ind w:left="567" w:hanging="567"/>
        <w:rPr>
          <w:rFonts w:asciiTheme="majorBidi" w:hAnsiTheme="majorBidi" w:cstheme="majorBidi"/>
          <w:sz w:val="22"/>
          <w:szCs w:val="22"/>
        </w:rPr>
      </w:pPr>
      <w:r w:rsidRPr="00A1260E">
        <w:rPr>
          <w:rFonts w:asciiTheme="majorBidi" w:hAnsiTheme="majorBidi" w:cstheme="majorBidi"/>
          <w:sz w:val="22"/>
          <w:szCs w:val="22"/>
        </w:rPr>
        <w:t xml:space="preserve"> </w:t>
      </w:r>
      <w:r w:rsidR="00F37D16" w:rsidRPr="00A1260E">
        <w:rPr>
          <w:rFonts w:asciiTheme="majorBidi" w:hAnsiTheme="majorBidi" w:cstheme="majorBidi"/>
          <w:sz w:val="22"/>
          <w:szCs w:val="22"/>
        </w:rPr>
        <w:t xml:space="preserve">“Power, Politics, and Community: Resistance Dynamics in the Occupied Golan,” </w:t>
      </w:r>
      <w:r w:rsidR="00F37D16" w:rsidRPr="00A1260E">
        <w:rPr>
          <w:rFonts w:asciiTheme="majorBidi" w:hAnsiTheme="majorBidi" w:cstheme="majorBidi"/>
          <w:i/>
          <w:iCs/>
          <w:sz w:val="22"/>
          <w:szCs w:val="22"/>
        </w:rPr>
        <w:t xml:space="preserve">Journal </w:t>
      </w:r>
      <w:r w:rsidR="009934FC" w:rsidRPr="00A1260E">
        <w:rPr>
          <w:rFonts w:asciiTheme="majorBidi" w:hAnsiTheme="majorBidi" w:cstheme="majorBidi"/>
          <w:i/>
          <w:iCs/>
          <w:sz w:val="22"/>
          <w:szCs w:val="22"/>
        </w:rPr>
        <w:t>of</w:t>
      </w:r>
      <w:r w:rsidR="00F37D16" w:rsidRPr="00A1260E">
        <w:rPr>
          <w:rFonts w:asciiTheme="majorBidi" w:hAnsiTheme="majorBidi" w:cstheme="majorBidi"/>
          <w:i/>
          <w:iCs/>
          <w:sz w:val="22"/>
          <w:szCs w:val="22"/>
        </w:rPr>
        <w:t xml:space="preserve"> Palestine Studies</w:t>
      </w:r>
      <w:r w:rsidR="009934FC" w:rsidRPr="00A1260E">
        <w:rPr>
          <w:rFonts w:asciiTheme="majorBidi" w:hAnsiTheme="majorBidi" w:cstheme="majorBidi"/>
          <w:sz w:val="22"/>
          <w:szCs w:val="22"/>
        </w:rPr>
        <w:t>, XLIX, no. 1 (Autumn 2019):</w:t>
      </w:r>
      <w:r w:rsidR="00342EA4" w:rsidRPr="00A1260E">
        <w:rPr>
          <w:rFonts w:asciiTheme="majorBidi" w:hAnsiTheme="majorBidi" w:cstheme="majorBidi"/>
          <w:sz w:val="22"/>
          <w:szCs w:val="22"/>
        </w:rPr>
        <w:t xml:space="preserve"> </w:t>
      </w:r>
      <w:r w:rsidR="009934FC" w:rsidRPr="00A1260E">
        <w:rPr>
          <w:rFonts w:asciiTheme="majorBidi" w:hAnsiTheme="majorBidi" w:cstheme="majorBidi"/>
          <w:sz w:val="22"/>
          <w:szCs w:val="22"/>
        </w:rPr>
        <w:t>77-92.</w:t>
      </w:r>
    </w:p>
    <w:p w14:paraId="642071AD" w14:textId="4E584AEF" w:rsidR="00F03BF1" w:rsidRPr="00A1260E" w:rsidRDefault="00F03BF1" w:rsidP="0067130F">
      <w:pPr>
        <w:ind w:left="567" w:hanging="567"/>
        <w:rPr>
          <w:rFonts w:asciiTheme="majorBidi" w:hAnsiTheme="majorBidi" w:cstheme="majorBidi"/>
          <w:sz w:val="22"/>
          <w:szCs w:val="22"/>
        </w:rPr>
      </w:pPr>
      <w:r w:rsidRPr="00A1260E">
        <w:rPr>
          <w:rFonts w:asciiTheme="majorBidi" w:hAnsiTheme="majorBidi" w:cstheme="majorBidi"/>
          <w:sz w:val="22"/>
          <w:szCs w:val="22"/>
        </w:rPr>
        <w:t xml:space="preserve">“Confronting a Colonial Rule of Property: The al-Sakhina Case in Mandate Palestine,” </w:t>
      </w:r>
      <w:r w:rsidRPr="00A1260E">
        <w:rPr>
          <w:rFonts w:asciiTheme="majorBidi" w:hAnsiTheme="majorBidi" w:cstheme="majorBidi"/>
          <w:i/>
          <w:iCs/>
          <w:sz w:val="22"/>
          <w:szCs w:val="22"/>
        </w:rPr>
        <w:t>Arab Studies Journal,</w:t>
      </w:r>
      <w:r w:rsidRPr="00A1260E">
        <w:rPr>
          <w:rFonts w:asciiTheme="majorBidi" w:hAnsiTheme="majorBidi" w:cstheme="majorBidi"/>
          <w:sz w:val="22"/>
          <w:szCs w:val="22"/>
        </w:rPr>
        <w:t xml:space="preserve"> Vol. XVII, No. 1 (2019)</w:t>
      </w:r>
      <w:r w:rsidR="00342EA4" w:rsidRPr="00A1260E">
        <w:rPr>
          <w:rFonts w:asciiTheme="majorBidi" w:hAnsiTheme="majorBidi" w:cstheme="majorBidi"/>
          <w:sz w:val="22"/>
          <w:szCs w:val="22"/>
          <w:lang w:val="en-US"/>
        </w:rPr>
        <w:t>:</w:t>
      </w:r>
      <w:r w:rsidRPr="00A1260E">
        <w:rPr>
          <w:rFonts w:asciiTheme="majorBidi" w:hAnsiTheme="majorBidi" w:cstheme="majorBidi"/>
          <w:sz w:val="22"/>
          <w:szCs w:val="22"/>
        </w:rPr>
        <w:t xml:space="preserve"> 12-33.</w:t>
      </w:r>
    </w:p>
    <w:p w14:paraId="4BB5E8F7" w14:textId="1B9FB778" w:rsidR="00F03BF1" w:rsidRPr="00A1260E" w:rsidRDefault="00F03BF1" w:rsidP="0067130F">
      <w:pPr>
        <w:ind w:left="567" w:hanging="567"/>
        <w:rPr>
          <w:rFonts w:asciiTheme="majorBidi" w:hAnsiTheme="majorBidi" w:cstheme="majorBidi"/>
          <w:sz w:val="22"/>
          <w:szCs w:val="22"/>
        </w:rPr>
      </w:pPr>
      <w:r w:rsidRPr="00A1260E">
        <w:rPr>
          <w:rFonts w:asciiTheme="majorBidi" w:hAnsiTheme="majorBidi" w:cstheme="majorBidi"/>
          <w:sz w:val="22"/>
          <w:szCs w:val="22"/>
        </w:rPr>
        <w:t xml:space="preserve">“Land, Property Rights, and Colonial Procrastination: Between the Balfour Declaration and the Nakba” [Arabic], </w:t>
      </w:r>
      <w:r w:rsidRPr="00A1260E">
        <w:rPr>
          <w:rFonts w:asciiTheme="majorBidi" w:hAnsiTheme="majorBidi" w:cstheme="majorBidi"/>
          <w:i/>
          <w:iCs/>
          <w:sz w:val="22"/>
          <w:szCs w:val="22"/>
        </w:rPr>
        <w:t>Ostour</w:t>
      </w:r>
      <w:r w:rsidRPr="00A1260E">
        <w:rPr>
          <w:rFonts w:asciiTheme="majorBidi" w:hAnsiTheme="majorBidi" w:cstheme="majorBidi"/>
          <w:sz w:val="22"/>
          <w:szCs w:val="22"/>
        </w:rPr>
        <w:t>, Vol. 8 (July 2018)</w:t>
      </w:r>
      <w:r w:rsidR="00342EA4" w:rsidRPr="00A1260E">
        <w:rPr>
          <w:rFonts w:asciiTheme="majorBidi" w:hAnsiTheme="majorBidi" w:cstheme="majorBidi"/>
          <w:sz w:val="22"/>
          <w:szCs w:val="22"/>
          <w:lang w:val="en-US"/>
        </w:rPr>
        <w:t>:</w:t>
      </w:r>
      <w:r w:rsidRPr="00A1260E">
        <w:rPr>
          <w:rFonts w:asciiTheme="majorBidi" w:hAnsiTheme="majorBidi" w:cstheme="majorBidi"/>
          <w:sz w:val="22"/>
          <w:szCs w:val="22"/>
        </w:rPr>
        <w:t xml:space="preserve"> 193-209. </w:t>
      </w:r>
    </w:p>
    <w:p w14:paraId="1CB733E2" w14:textId="04819B33" w:rsidR="00F03BF1" w:rsidRPr="00A1260E" w:rsidRDefault="00F03BF1" w:rsidP="0067130F">
      <w:pPr>
        <w:ind w:left="567" w:hanging="567"/>
        <w:rPr>
          <w:rFonts w:asciiTheme="majorBidi" w:hAnsiTheme="majorBidi" w:cstheme="majorBidi"/>
        </w:rPr>
      </w:pPr>
      <w:r w:rsidRPr="00A1260E">
        <w:rPr>
          <w:rFonts w:asciiTheme="majorBidi" w:hAnsiTheme="majorBidi" w:cstheme="majorBidi"/>
          <w:sz w:val="22"/>
          <w:szCs w:val="22"/>
        </w:rPr>
        <w:t xml:space="preserve">“The Syrians in the Golan Heights, between Uprising, Regime, and Occupation” [Arabic], </w:t>
      </w:r>
      <w:r w:rsidRPr="00A1260E">
        <w:rPr>
          <w:rFonts w:asciiTheme="majorBidi" w:hAnsiTheme="majorBidi" w:cstheme="majorBidi"/>
          <w:i/>
          <w:iCs/>
          <w:sz w:val="22"/>
          <w:szCs w:val="22"/>
        </w:rPr>
        <w:t>Majallat al- Dirasat al-Filastiniya</w:t>
      </w:r>
      <w:r w:rsidRPr="00A1260E">
        <w:rPr>
          <w:rFonts w:asciiTheme="majorBidi" w:hAnsiTheme="majorBidi" w:cstheme="majorBidi"/>
          <w:sz w:val="22"/>
          <w:szCs w:val="22"/>
        </w:rPr>
        <w:t xml:space="preserve">, 104 (Autumn, 2015), 27-32. </w:t>
      </w:r>
    </w:p>
    <w:p w14:paraId="3B4E2B03" w14:textId="762639BA" w:rsidR="00F03BF1" w:rsidRPr="00A1260E" w:rsidRDefault="00F03BF1" w:rsidP="0067130F">
      <w:pPr>
        <w:ind w:left="567" w:hanging="567"/>
        <w:rPr>
          <w:rFonts w:asciiTheme="majorBidi" w:hAnsiTheme="majorBidi" w:cstheme="majorBidi"/>
        </w:rPr>
      </w:pPr>
      <w:r w:rsidRPr="00A1260E">
        <w:rPr>
          <w:rFonts w:asciiTheme="majorBidi" w:hAnsiTheme="majorBidi" w:cstheme="majorBidi"/>
          <w:sz w:val="22"/>
          <w:szCs w:val="22"/>
        </w:rPr>
        <w:t xml:space="preserve">“British Framing of the Frontier in Palestine, 1918–1923: Revisiting Colonial Sources on Tribal Insurrection, Land Tenure, and the Arab Intelligentsia,” </w:t>
      </w:r>
      <w:r w:rsidRPr="00A1260E">
        <w:rPr>
          <w:rFonts w:asciiTheme="majorBidi" w:hAnsiTheme="majorBidi" w:cstheme="majorBidi"/>
          <w:i/>
          <w:iCs/>
          <w:sz w:val="22"/>
          <w:szCs w:val="22"/>
        </w:rPr>
        <w:t xml:space="preserve">Jerusalem Quarterly, </w:t>
      </w:r>
      <w:r w:rsidRPr="00A1260E">
        <w:rPr>
          <w:rFonts w:asciiTheme="majorBidi" w:hAnsiTheme="majorBidi" w:cstheme="majorBidi"/>
          <w:sz w:val="22"/>
          <w:szCs w:val="22"/>
        </w:rPr>
        <w:t>no. 60 (2014)</w:t>
      </w:r>
      <w:r w:rsidR="00342EA4" w:rsidRPr="00A1260E">
        <w:rPr>
          <w:rFonts w:asciiTheme="majorBidi" w:hAnsiTheme="majorBidi" w:cstheme="majorBidi"/>
          <w:sz w:val="22"/>
          <w:szCs w:val="22"/>
          <w:lang w:val="en-US"/>
        </w:rPr>
        <w:t>:</w:t>
      </w:r>
      <w:r w:rsidRPr="00A1260E">
        <w:rPr>
          <w:rFonts w:asciiTheme="majorBidi" w:hAnsiTheme="majorBidi" w:cstheme="majorBidi"/>
          <w:sz w:val="22"/>
          <w:szCs w:val="22"/>
        </w:rPr>
        <w:t xml:space="preserve"> 42-58. </w:t>
      </w:r>
    </w:p>
    <w:p w14:paraId="40D4D7A0" w14:textId="0E96D1D9" w:rsidR="00F03BF1" w:rsidRDefault="00F03BF1" w:rsidP="0067130F">
      <w:pPr>
        <w:ind w:left="567" w:hanging="567"/>
        <w:rPr>
          <w:rFonts w:asciiTheme="majorBidi" w:hAnsiTheme="majorBidi" w:cstheme="majorBidi"/>
          <w:sz w:val="22"/>
          <w:szCs w:val="22"/>
        </w:rPr>
      </w:pPr>
      <w:r w:rsidRPr="00A1260E">
        <w:rPr>
          <w:rFonts w:asciiTheme="majorBidi" w:hAnsiTheme="majorBidi" w:cstheme="majorBidi"/>
          <w:sz w:val="22"/>
          <w:szCs w:val="22"/>
        </w:rPr>
        <w:t>“</w:t>
      </w:r>
      <w:r w:rsidRPr="00A1260E">
        <w:rPr>
          <w:rFonts w:asciiTheme="majorBidi" w:hAnsiTheme="majorBidi" w:cstheme="majorBidi"/>
          <w:i/>
          <w:iCs/>
          <w:sz w:val="22"/>
          <w:szCs w:val="22"/>
        </w:rPr>
        <w:t xml:space="preserve">Nahda </w:t>
      </w:r>
      <w:r w:rsidRPr="00A1260E">
        <w:rPr>
          <w:rFonts w:asciiTheme="majorBidi" w:hAnsiTheme="majorBidi" w:cstheme="majorBidi"/>
          <w:sz w:val="22"/>
          <w:szCs w:val="22"/>
        </w:rPr>
        <w:t xml:space="preserve">Anxieties in Jubran Kazma’s letters to Jamal Husseini, 1921-1923,” [Arabic] </w:t>
      </w:r>
      <w:r w:rsidRPr="00A1260E">
        <w:rPr>
          <w:rFonts w:asciiTheme="majorBidi" w:hAnsiTheme="majorBidi" w:cstheme="majorBidi"/>
          <w:i/>
          <w:iCs/>
          <w:sz w:val="22"/>
          <w:szCs w:val="22"/>
        </w:rPr>
        <w:t xml:space="preserve">Hawliyat al-Quds </w:t>
      </w:r>
      <w:r w:rsidRPr="00A1260E">
        <w:rPr>
          <w:rFonts w:asciiTheme="majorBidi" w:hAnsiTheme="majorBidi" w:cstheme="majorBidi"/>
          <w:sz w:val="22"/>
          <w:szCs w:val="22"/>
        </w:rPr>
        <w:t>11, no. 12 (Winter</w:t>
      </w:r>
      <w:r w:rsidR="00765FE0" w:rsidRPr="00A1260E">
        <w:rPr>
          <w:rFonts w:asciiTheme="majorBidi" w:hAnsiTheme="majorBidi" w:cstheme="majorBidi"/>
          <w:sz w:val="22"/>
          <w:szCs w:val="22"/>
          <w:lang w:val="en-US"/>
        </w:rPr>
        <w:t>,</w:t>
      </w:r>
      <w:r w:rsidRPr="00A1260E">
        <w:rPr>
          <w:rFonts w:asciiTheme="majorBidi" w:hAnsiTheme="majorBidi" w:cstheme="majorBidi"/>
          <w:sz w:val="22"/>
          <w:szCs w:val="22"/>
        </w:rPr>
        <w:t xml:space="preserve"> 2011)</w:t>
      </w:r>
      <w:r w:rsidR="00342EA4" w:rsidRPr="00A1260E">
        <w:rPr>
          <w:rFonts w:asciiTheme="majorBidi" w:hAnsiTheme="majorBidi" w:cstheme="majorBidi"/>
          <w:sz w:val="22"/>
          <w:szCs w:val="22"/>
          <w:lang w:val="en-US"/>
        </w:rPr>
        <w:t>:</w:t>
      </w:r>
      <w:r w:rsidRPr="00A1260E">
        <w:rPr>
          <w:rFonts w:asciiTheme="majorBidi" w:hAnsiTheme="majorBidi" w:cstheme="majorBidi"/>
          <w:sz w:val="22"/>
          <w:szCs w:val="22"/>
        </w:rPr>
        <w:t xml:space="preserve"> 25-33. </w:t>
      </w:r>
    </w:p>
    <w:p w14:paraId="5AA11EC3" w14:textId="77777777" w:rsidR="0083503B" w:rsidRPr="00A1260E" w:rsidRDefault="0083503B" w:rsidP="0067130F">
      <w:pPr>
        <w:rPr>
          <w:rFonts w:asciiTheme="majorBidi" w:hAnsiTheme="majorBidi" w:cstheme="majorBidi"/>
          <w:sz w:val="22"/>
          <w:szCs w:val="22"/>
        </w:rPr>
      </w:pPr>
    </w:p>
    <w:p w14:paraId="72DDC1CE" w14:textId="08B3E4ED" w:rsidR="00BB54DB" w:rsidRPr="00A1260E" w:rsidRDefault="00F03BF1" w:rsidP="00624D64">
      <w:pPr>
        <w:rPr>
          <w:rFonts w:asciiTheme="majorBidi" w:hAnsiTheme="majorBidi" w:cstheme="majorBidi"/>
          <w:b/>
          <w:bCs/>
          <w:color w:val="FFFFFF" w:themeColor="background1"/>
          <w:sz w:val="22"/>
          <w:szCs w:val="22"/>
          <w:highlight w:val="black"/>
        </w:rPr>
      </w:pPr>
      <w:r w:rsidRPr="00A1260E">
        <w:rPr>
          <w:rFonts w:asciiTheme="majorBidi" w:hAnsiTheme="majorBidi" w:cstheme="majorBidi"/>
          <w:b/>
          <w:bCs/>
          <w:color w:val="FFFFFF" w:themeColor="background1"/>
          <w:sz w:val="22"/>
          <w:szCs w:val="22"/>
          <w:highlight w:val="black"/>
        </w:rPr>
        <w:t>E</w:t>
      </w:r>
      <w:r w:rsidR="007A443F" w:rsidRPr="00A1260E">
        <w:rPr>
          <w:rFonts w:asciiTheme="majorBidi" w:hAnsiTheme="majorBidi" w:cstheme="majorBidi"/>
          <w:b/>
          <w:bCs/>
          <w:color w:val="FFFFFF" w:themeColor="background1"/>
          <w:sz w:val="22"/>
          <w:szCs w:val="22"/>
          <w:highlight w:val="black"/>
        </w:rPr>
        <w:t>SSAYS</w:t>
      </w:r>
    </w:p>
    <w:p w14:paraId="46A77FF5" w14:textId="1D58409D" w:rsidR="00A64132" w:rsidRPr="00A1260E" w:rsidRDefault="00A64132" w:rsidP="0067130F">
      <w:pPr>
        <w:ind w:left="567" w:hanging="567"/>
        <w:rPr>
          <w:rFonts w:asciiTheme="majorBidi" w:hAnsiTheme="majorBidi" w:cstheme="majorBidi"/>
          <w:sz w:val="22"/>
          <w:szCs w:val="22"/>
        </w:rPr>
      </w:pPr>
      <w:r w:rsidRPr="00A1260E">
        <w:rPr>
          <w:rFonts w:asciiTheme="majorBidi" w:hAnsiTheme="majorBidi" w:cstheme="majorBidi"/>
          <w:sz w:val="22"/>
          <w:szCs w:val="22"/>
          <w:lang w:val="en-US"/>
        </w:rPr>
        <w:t xml:space="preserve">“Identity and Colonialism in the Occupied Golan Heights: Notes on the Dialectics of Consciousness and Hegemony,” [Arabic] published online by Harmon Center for Contemporary Studies, 11 Nov. 2017. </w:t>
      </w:r>
      <w:hyperlink r:id="rId8" w:history="1">
        <w:r w:rsidRPr="00A1260E">
          <w:rPr>
            <w:rStyle w:val="Hyperlink"/>
            <w:rFonts w:asciiTheme="majorBidi" w:hAnsiTheme="majorBidi" w:cstheme="majorBidi"/>
            <w:sz w:val="22"/>
            <w:szCs w:val="22"/>
          </w:rPr>
          <w:t>https://harmoon.org/wp-content/uploads/2017/11/Identity-and-Colonialism-in-the-Occupied-Golan.pdf</w:t>
        </w:r>
      </w:hyperlink>
      <w:r w:rsidRPr="00A1260E">
        <w:rPr>
          <w:rFonts w:asciiTheme="majorBidi" w:hAnsiTheme="majorBidi" w:cstheme="majorBidi"/>
          <w:sz w:val="22"/>
          <w:szCs w:val="22"/>
        </w:rPr>
        <w:t xml:space="preserve"> </w:t>
      </w:r>
    </w:p>
    <w:p w14:paraId="14671CC6" w14:textId="5541A79C" w:rsidR="00A64132" w:rsidRPr="00A1260E" w:rsidRDefault="00A64132" w:rsidP="0067130F">
      <w:pPr>
        <w:ind w:left="567" w:hanging="567"/>
        <w:rPr>
          <w:rFonts w:asciiTheme="majorBidi" w:hAnsiTheme="majorBidi" w:cstheme="majorBidi"/>
          <w:sz w:val="22"/>
          <w:szCs w:val="22"/>
          <w:lang w:val="en-US"/>
        </w:rPr>
      </w:pPr>
      <w:r w:rsidRPr="00A1260E">
        <w:rPr>
          <w:rFonts w:asciiTheme="majorBidi" w:hAnsiTheme="majorBidi" w:cstheme="majorBidi"/>
          <w:sz w:val="22"/>
          <w:szCs w:val="22"/>
          <w:lang w:val="en-US"/>
        </w:rPr>
        <w:t xml:space="preserve">“The Syrian Revolution and Resistance in the Occupied Golan,” [Arabic] </w:t>
      </w:r>
      <w:proofErr w:type="spellStart"/>
      <w:r w:rsidRPr="00A1260E">
        <w:rPr>
          <w:rFonts w:asciiTheme="majorBidi" w:hAnsiTheme="majorBidi" w:cstheme="majorBidi"/>
          <w:sz w:val="22"/>
          <w:szCs w:val="22"/>
          <w:lang w:val="en-US"/>
        </w:rPr>
        <w:t>Bidayat</w:t>
      </w:r>
      <w:proofErr w:type="spellEnd"/>
      <w:r w:rsidRPr="00A1260E">
        <w:rPr>
          <w:rFonts w:asciiTheme="majorBidi" w:hAnsiTheme="majorBidi" w:cstheme="majorBidi"/>
          <w:sz w:val="22"/>
          <w:szCs w:val="22"/>
          <w:lang w:val="en-US"/>
        </w:rPr>
        <w:t xml:space="preserve">, vols. 3-4, Autumn 2012/Winter 2013. </w:t>
      </w:r>
      <w:hyperlink r:id="rId9" w:history="1">
        <w:r w:rsidR="00260558" w:rsidRPr="00A1260E">
          <w:rPr>
            <w:rStyle w:val="Hyperlink"/>
            <w:rFonts w:asciiTheme="majorBidi" w:hAnsiTheme="majorBidi" w:cstheme="majorBidi"/>
            <w:sz w:val="22"/>
            <w:szCs w:val="22"/>
            <w:lang w:val="en-US"/>
          </w:rPr>
          <w:t>https://bidayatmag.com/node/215</w:t>
        </w:r>
      </w:hyperlink>
      <w:r w:rsidRPr="00A1260E">
        <w:rPr>
          <w:rFonts w:asciiTheme="majorBidi" w:hAnsiTheme="majorBidi" w:cstheme="majorBidi"/>
          <w:sz w:val="22"/>
          <w:szCs w:val="22"/>
          <w:lang w:val="en-US"/>
        </w:rPr>
        <w:t xml:space="preserve"> </w:t>
      </w:r>
    </w:p>
    <w:p w14:paraId="5E0D05A7" w14:textId="4A0AFE47" w:rsidR="00A64132" w:rsidRPr="00A1260E" w:rsidRDefault="00A64132" w:rsidP="0067130F">
      <w:pPr>
        <w:ind w:left="567" w:hanging="567"/>
        <w:rPr>
          <w:rFonts w:asciiTheme="majorBidi" w:hAnsiTheme="majorBidi" w:cstheme="majorBidi"/>
          <w:sz w:val="22"/>
          <w:szCs w:val="22"/>
        </w:rPr>
      </w:pPr>
      <w:r w:rsidRPr="00A1260E">
        <w:rPr>
          <w:rFonts w:asciiTheme="majorBidi" w:hAnsiTheme="majorBidi" w:cstheme="majorBidi"/>
          <w:sz w:val="22"/>
          <w:szCs w:val="22"/>
          <w:lang w:val="en-US"/>
        </w:rPr>
        <w:t xml:space="preserve">“On the Formation of Identity: </w:t>
      </w:r>
      <w:proofErr w:type="gramStart"/>
      <w:r w:rsidRPr="00A1260E">
        <w:rPr>
          <w:rFonts w:asciiTheme="majorBidi" w:hAnsiTheme="majorBidi" w:cstheme="majorBidi"/>
          <w:sz w:val="22"/>
          <w:szCs w:val="22"/>
          <w:lang w:val="en-US"/>
        </w:rPr>
        <w:t>the</w:t>
      </w:r>
      <w:proofErr w:type="gramEnd"/>
      <w:r w:rsidRPr="00A1260E">
        <w:rPr>
          <w:rFonts w:asciiTheme="majorBidi" w:hAnsiTheme="majorBidi" w:cstheme="majorBidi"/>
          <w:sz w:val="22"/>
          <w:szCs w:val="22"/>
          <w:lang w:val="en-US"/>
        </w:rPr>
        <w:t xml:space="preserve"> Invention of Modernity and Traditions,” [Arabic] in </w:t>
      </w:r>
      <w:r w:rsidRPr="00A1260E">
        <w:rPr>
          <w:rFonts w:asciiTheme="majorBidi" w:hAnsiTheme="majorBidi" w:cstheme="majorBidi"/>
          <w:i/>
          <w:iCs/>
          <w:sz w:val="22"/>
          <w:szCs w:val="22"/>
          <w:lang w:val="en-US"/>
        </w:rPr>
        <w:t>al-</w:t>
      </w:r>
      <w:proofErr w:type="spellStart"/>
      <w:r w:rsidRPr="00A1260E">
        <w:rPr>
          <w:rFonts w:asciiTheme="majorBidi" w:hAnsiTheme="majorBidi" w:cstheme="majorBidi"/>
          <w:i/>
          <w:iCs/>
          <w:sz w:val="22"/>
          <w:szCs w:val="22"/>
          <w:lang w:val="en-US"/>
        </w:rPr>
        <w:t>Safir’s</w:t>
      </w:r>
      <w:proofErr w:type="spellEnd"/>
      <w:r w:rsidRPr="00A1260E">
        <w:rPr>
          <w:rFonts w:asciiTheme="majorBidi" w:hAnsiTheme="majorBidi" w:cstheme="majorBidi"/>
          <w:sz w:val="22"/>
          <w:szCs w:val="22"/>
          <w:lang w:val="en-US"/>
        </w:rPr>
        <w:t xml:space="preserve"> </w:t>
      </w:r>
      <w:r w:rsidRPr="00A1260E">
        <w:rPr>
          <w:rFonts w:asciiTheme="majorBidi" w:hAnsiTheme="majorBidi" w:cstheme="majorBidi"/>
          <w:i/>
          <w:iCs/>
          <w:sz w:val="22"/>
          <w:szCs w:val="22"/>
          <w:lang w:val="en-US"/>
        </w:rPr>
        <w:t>Palestine supplement</w:t>
      </w:r>
      <w:r w:rsidRPr="00A1260E">
        <w:rPr>
          <w:rFonts w:asciiTheme="majorBidi" w:hAnsiTheme="majorBidi" w:cstheme="majorBidi"/>
          <w:sz w:val="22"/>
          <w:szCs w:val="22"/>
          <w:lang w:val="en-US"/>
        </w:rPr>
        <w:t xml:space="preserve">, 17 April 2012. </w:t>
      </w:r>
      <w:hyperlink r:id="rId10" w:history="1">
        <w:r w:rsidRPr="00A1260E">
          <w:rPr>
            <w:rStyle w:val="Hyperlink"/>
            <w:rFonts w:asciiTheme="majorBidi" w:hAnsiTheme="majorBidi" w:cstheme="majorBidi"/>
            <w:sz w:val="22"/>
            <w:szCs w:val="22"/>
          </w:rPr>
          <w:t>http://almawqef.com/spip.php?article5401&amp;debut_articles_rubrique=40&amp;lang=ar</w:t>
        </w:r>
      </w:hyperlink>
      <w:r w:rsidRPr="00A1260E">
        <w:rPr>
          <w:rFonts w:asciiTheme="majorBidi" w:hAnsiTheme="majorBidi" w:cstheme="majorBidi"/>
          <w:sz w:val="22"/>
          <w:szCs w:val="22"/>
        </w:rPr>
        <w:t xml:space="preserve"> </w:t>
      </w:r>
    </w:p>
    <w:p w14:paraId="654054B1" w14:textId="7F491BCA" w:rsidR="00F03BF1" w:rsidRPr="00A1260E" w:rsidRDefault="00F03BF1" w:rsidP="0067130F">
      <w:pPr>
        <w:ind w:left="567" w:hanging="567"/>
        <w:rPr>
          <w:rFonts w:asciiTheme="majorBidi" w:hAnsiTheme="majorBidi" w:cstheme="majorBidi"/>
        </w:rPr>
      </w:pPr>
      <w:r w:rsidRPr="00A1260E">
        <w:rPr>
          <w:rFonts w:asciiTheme="majorBidi" w:hAnsiTheme="majorBidi" w:cstheme="majorBidi"/>
          <w:sz w:val="22"/>
          <w:szCs w:val="22"/>
        </w:rPr>
        <w:t xml:space="preserve">“On the Birth of the Refugee Camp,” in Issam Nassar and Rasha Salti (eds.) </w:t>
      </w:r>
      <w:r w:rsidRPr="00A1260E">
        <w:rPr>
          <w:rFonts w:asciiTheme="majorBidi" w:hAnsiTheme="majorBidi" w:cstheme="majorBidi"/>
          <w:i/>
          <w:iCs/>
          <w:sz w:val="22"/>
          <w:szCs w:val="22"/>
        </w:rPr>
        <w:t xml:space="preserve">I would have smiled: Photographing the Palestinian Refugee Experience, a Tribute to Myrtle Winter-Chaumeny </w:t>
      </w:r>
      <w:r w:rsidRPr="00A1260E">
        <w:rPr>
          <w:rFonts w:asciiTheme="majorBidi" w:hAnsiTheme="majorBidi" w:cstheme="majorBidi"/>
          <w:sz w:val="22"/>
          <w:szCs w:val="22"/>
        </w:rPr>
        <w:t xml:space="preserve">(Jerusalem: Institute for Palestine Studies, 2009), 125-127. </w:t>
      </w:r>
    </w:p>
    <w:p w14:paraId="7FA0CBA3" w14:textId="1B9D6736" w:rsidR="00F53DC8" w:rsidRDefault="00F03BF1" w:rsidP="0067130F">
      <w:pPr>
        <w:ind w:left="567" w:hanging="567"/>
        <w:rPr>
          <w:rFonts w:asciiTheme="majorBidi" w:hAnsiTheme="majorBidi" w:cstheme="majorBidi"/>
          <w:sz w:val="22"/>
          <w:szCs w:val="22"/>
        </w:rPr>
      </w:pPr>
      <w:r w:rsidRPr="00A1260E">
        <w:rPr>
          <w:rFonts w:asciiTheme="majorBidi" w:hAnsiTheme="majorBidi" w:cstheme="majorBidi"/>
          <w:sz w:val="22"/>
          <w:szCs w:val="22"/>
        </w:rPr>
        <w:t>“</w:t>
      </w:r>
      <w:r w:rsidRPr="00A1260E">
        <w:rPr>
          <w:rFonts w:asciiTheme="majorBidi" w:hAnsiTheme="majorBidi" w:cstheme="majorBidi"/>
          <w:i/>
          <w:iCs/>
          <w:sz w:val="22"/>
          <w:szCs w:val="22"/>
        </w:rPr>
        <w:t xml:space="preserve">The New Intifada </w:t>
      </w:r>
      <w:r w:rsidRPr="00A1260E">
        <w:rPr>
          <w:rFonts w:asciiTheme="majorBidi" w:hAnsiTheme="majorBidi" w:cstheme="majorBidi"/>
          <w:sz w:val="22"/>
          <w:szCs w:val="22"/>
        </w:rPr>
        <w:t xml:space="preserve">and a Short History of the Question of Palestine,” (co-authored with Koray Çalişkan; in Turkish), </w:t>
      </w:r>
      <w:r w:rsidRPr="00A1260E">
        <w:rPr>
          <w:rFonts w:asciiTheme="majorBidi" w:hAnsiTheme="majorBidi" w:cstheme="majorBidi"/>
          <w:i/>
          <w:iCs/>
          <w:sz w:val="22"/>
          <w:szCs w:val="22"/>
        </w:rPr>
        <w:t xml:space="preserve">Birikim </w:t>
      </w:r>
      <w:r w:rsidRPr="00A1260E">
        <w:rPr>
          <w:rFonts w:asciiTheme="majorBidi" w:hAnsiTheme="majorBidi" w:cstheme="majorBidi"/>
          <w:sz w:val="22"/>
          <w:szCs w:val="22"/>
        </w:rPr>
        <w:t xml:space="preserve">(December, 2000), 20-35. </w:t>
      </w:r>
    </w:p>
    <w:p w14:paraId="219DCFA5" w14:textId="76CC5D68" w:rsidR="0067130F" w:rsidRPr="0067130F" w:rsidRDefault="0067130F" w:rsidP="0067130F">
      <w:pPr>
        <w:rPr>
          <w:rFonts w:asciiTheme="majorBidi" w:hAnsiTheme="majorBidi" w:cstheme="majorBidi"/>
          <w:b/>
          <w:bCs/>
          <w:color w:val="FFFFFF" w:themeColor="background1"/>
          <w:sz w:val="22"/>
          <w:szCs w:val="22"/>
          <w:highlight w:val="black"/>
        </w:rPr>
      </w:pPr>
      <w:r w:rsidRPr="0067130F">
        <w:rPr>
          <w:sz w:val="22"/>
          <w:szCs w:val="22"/>
        </w:rPr>
        <w:t xml:space="preserve">Note: I have also </w:t>
      </w:r>
      <w:r w:rsidRPr="0067130F">
        <w:rPr>
          <w:sz w:val="22"/>
          <w:szCs w:val="22"/>
        </w:rPr>
        <w:t>Published essays on the cultural and political affairs in the Golan Heights local websites</w:t>
      </w:r>
      <w:r w:rsidRPr="0067130F">
        <w:rPr>
          <w:rFonts w:asciiTheme="majorBidi" w:hAnsiTheme="majorBidi" w:cstheme="majorBi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7130F">
        <w:rPr>
          <w:rFonts w:asciiTheme="majorBidi" w:hAnsiTheme="majorBidi" w:cstheme="majorBidi"/>
          <w:sz w:val="22"/>
          <w:szCs w:val="22"/>
        </w:rPr>
        <w:t xml:space="preserve">and in leading Arabic newspapers and magazines: </w:t>
      </w:r>
      <w:r w:rsidRPr="0067130F">
        <w:rPr>
          <w:rFonts w:asciiTheme="majorBidi" w:hAnsiTheme="majorBidi" w:cstheme="majorBidi"/>
          <w:i/>
          <w:iCs/>
          <w:sz w:val="22"/>
          <w:szCs w:val="22"/>
        </w:rPr>
        <w:t xml:space="preserve">Al-Nahar </w:t>
      </w:r>
      <w:r w:rsidRPr="0067130F">
        <w:rPr>
          <w:rFonts w:asciiTheme="majorBidi" w:hAnsiTheme="majorBidi" w:cstheme="majorBidi"/>
          <w:sz w:val="22"/>
          <w:szCs w:val="22"/>
        </w:rPr>
        <w:t xml:space="preserve">(the Cultural Supplement), </w:t>
      </w:r>
      <w:r w:rsidRPr="0067130F">
        <w:rPr>
          <w:rFonts w:asciiTheme="majorBidi" w:hAnsiTheme="majorBidi" w:cstheme="majorBidi"/>
          <w:i/>
          <w:iCs/>
          <w:sz w:val="22"/>
          <w:szCs w:val="22"/>
        </w:rPr>
        <w:t xml:space="preserve">Al-Safir </w:t>
      </w:r>
      <w:r w:rsidRPr="0067130F">
        <w:rPr>
          <w:rFonts w:asciiTheme="majorBidi" w:hAnsiTheme="majorBidi" w:cstheme="majorBidi"/>
          <w:sz w:val="22"/>
          <w:szCs w:val="22"/>
        </w:rPr>
        <w:t xml:space="preserve">(the Palestine Supplement), and most recently in </w:t>
      </w:r>
      <w:r w:rsidRPr="0067130F">
        <w:rPr>
          <w:rFonts w:asciiTheme="majorBidi" w:hAnsiTheme="majorBidi" w:cstheme="majorBidi"/>
          <w:i/>
          <w:iCs/>
          <w:sz w:val="22"/>
          <w:szCs w:val="22"/>
        </w:rPr>
        <w:t xml:space="preserve">Bidayat </w:t>
      </w:r>
      <w:r w:rsidRPr="0067130F">
        <w:rPr>
          <w:rFonts w:asciiTheme="majorBidi" w:hAnsiTheme="majorBidi" w:cstheme="majorBidi"/>
          <w:sz w:val="22"/>
          <w:szCs w:val="22"/>
        </w:rPr>
        <w:t xml:space="preserve">(edited by Fawaz Trabulsi). </w:t>
      </w:r>
    </w:p>
    <w:p w14:paraId="0EC4B235" w14:textId="77777777" w:rsidR="0083503B" w:rsidRDefault="0083503B" w:rsidP="0067130F">
      <w:pPr>
        <w:rPr>
          <w:rFonts w:asciiTheme="majorBidi" w:hAnsiTheme="majorBidi" w:cstheme="majorBidi"/>
          <w:b/>
          <w:bCs/>
          <w:color w:val="FFFFFF" w:themeColor="background1"/>
          <w:sz w:val="22"/>
          <w:szCs w:val="22"/>
          <w:highlight w:val="black"/>
        </w:rPr>
      </w:pPr>
    </w:p>
    <w:p w14:paraId="6E541D0B" w14:textId="78621742" w:rsidR="00BB54DB" w:rsidRPr="00624D64" w:rsidRDefault="00F03BF1" w:rsidP="00624D64">
      <w:pPr>
        <w:rPr>
          <w:rFonts w:asciiTheme="majorBidi" w:hAnsiTheme="majorBidi" w:cstheme="majorBidi"/>
          <w:b/>
          <w:bCs/>
          <w:color w:val="FFFFFF" w:themeColor="background1"/>
          <w:sz w:val="22"/>
          <w:szCs w:val="22"/>
          <w:highlight w:val="black"/>
        </w:rPr>
      </w:pPr>
      <w:r w:rsidRPr="00A1260E">
        <w:rPr>
          <w:rFonts w:asciiTheme="majorBidi" w:hAnsiTheme="majorBidi" w:cstheme="majorBidi"/>
          <w:b/>
          <w:bCs/>
          <w:color w:val="FFFFFF" w:themeColor="background1"/>
          <w:sz w:val="22"/>
          <w:szCs w:val="22"/>
          <w:highlight w:val="black"/>
        </w:rPr>
        <w:t xml:space="preserve">BOOK REVIEWS </w:t>
      </w:r>
    </w:p>
    <w:p w14:paraId="4BCBDA14" w14:textId="1092E47C" w:rsidR="00F03BF1" w:rsidRPr="00A1260E" w:rsidRDefault="00F03BF1" w:rsidP="0067130F">
      <w:pPr>
        <w:ind w:left="567" w:hanging="567"/>
        <w:rPr>
          <w:rFonts w:asciiTheme="majorBidi" w:hAnsiTheme="majorBidi" w:cstheme="majorBidi"/>
        </w:rPr>
      </w:pPr>
      <w:r w:rsidRPr="00A1260E">
        <w:rPr>
          <w:rFonts w:asciiTheme="majorBidi" w:hAnsiTheme="majorBidi" w:cstheme="majorBidi"/>
          <w:sz w:val="22"/>
          <w:szCs w:val="22"/>
        </w:rPr>
        <w:t xml:space="preserve">“Review of </w:t>
      </w:r>
      <w:r w:rsidRPr="00A1260E">
        <w:rPr>
          <w:rFonts w:asciiTheme="majorBidi" w:hAnsiTheme="majorBidi" w:cstheme="majorBidi"/>
          <w:i/>
          <w:iCs/>
          <w:sz w:val="22"/>
          <w:szCs w:val="22"/>
        </w:rPr>
        <w:t>Miri and Amiri, Owner and Property: Legal Notes on the Distinction between Private Land and State Land in Palestine</w:t>
      </w:r>
      <w:r w:rsidRPr="00A1260E">
        <w:rPr>
          <w:rFonts w:asciiTheme="majorBidi" w:hAnsiTheme="majorBidi" w:cstheme="majorBidi"/>
          <w:sz w:val="22"/>
          <w:szCs w:val="22"/>
        </w:rPr>
        <w:t xml:space="preserve">, [Arabic] [A historical monograph from 1936, republished by the Jerusalem Legal Aid and Human Rights Center],” </w:t>
      </w:r>
      <w:r w:rsidRPr="00A1260E">
        <w:rPr>
          <w:rFonts w:asciiTheme="majorBidi" w:hAnsiTheme="majorBidi" w:cstheme="majorBidi"/>
          <w:i/>
          <w:iCs/>
          <w:sz w:val="22"/>
          <w:szCs w:val="22"/>
        </w:rPr>
        <w:t xml:space="preserve">Majjalat al-Dirasat al-Filastiniya, </w:t>
      </w:r>
      <w:r w:rsidRPr="00A1260E">
        <w:rPr>
          <w:rFonts w:asciiTheme="majorBidi" w:hAnsiTheme="majorBidi" w:cstheme="majorBidi"/>
          <w:sz w:val="22"/>
          <w:szCs w:val="22"/>
        </w:rPr>
        <w:t>vol</w:t>
      </w:r>
      <w:r w:rsidRPr="00A1260E">
        <w:rPr>
          <w:rFonts w:asciiTheme="majorBidi" w:hAnsiTheme="majorBidi" w:cstheme="majorBidi"/>
          <w:i/>
          <w:iCs/>
          <w:sz w:val="22"/>
          <w:szCs w:val="22"/>
        </w:rPr>
        <w:t xml:space="preserve">. </w:t>
      </w:r>
      <w:r w:rsidRPr="00A1260E">
        <w:rPr>
          <w:rFonts w:asciiTheme="majorBidi" w:hAnsiTheme="majorBidi" w:cstheme="majorBidi"/>
          <w:sz w:val="22"/>
          <w:szCs w:val="22"/>
        </w:rPr>
        <w:t>23, no. 89 (Winter</w:t>
      </w:r>
      <w:r w:rsidR="00765FE0" w:rsidRPr="00A1260E">
        <w:rPr>
          <w:rFonts w:asciiTheme="majorBidi" w:hAnsiTheme="majorBidi" w:cstheme="majorBidi"/>
          <w:sz w:val="22"/>
          <w:szCs w:val="22"/>
          <w:lang w:val="en-US"/>
        </w:rPr>
        <w:t>,</w:t>
      </w:r>
      <w:r w:rsidRPr="00A1260E">
        <w:rPr>
          <w:rFonts w:asciiTheme="majorBidi" w:hAnsiTheme="majorBidi" w:cstheme="majorBidi"/>
          <w:sz w:val="22"/>
          <w:szCs w:val="22"/>
        </w:rPr>
        <w:t xml:space="preserve"> 2012): 180-182. </w:t>
      </w:r>
    </w:p>
    <w:p w14:paraId="63A36573" w14:textId="0C6DE225" w:rsidR="00814902" w:rsidRPr="00A1260E" w:rsidRDefault="00F03BF1" w:rsidP="0067130F">
      <w:pPr>
        <w:ind w:left="567" w:hanging="567"/>
        <w:rPr>
          <w:rFonts w:asciiTheme="majorBidi" w:hAnsiTheme="majorBidi" w:cstheme="majorBidi"/>
          <w:sz w:val="22"/>
          <w:szCs w:val="22"/>
        </w:rPr>
      </w:pPr>
      <w:r w:rsidRPr="00A1260E">
        <w:rPr>
          <w:rFonts w:asciiTheme="majorBidi" w:hAnsiTheme="majorBidi" w:cstheme="majorBidi"/>
          <w:sz w:val="22"/>
          <w:szCs w:val="22"/>
        </w:rPr>
        <w:t xml:space="preserve">“Review of </w:t>
      </w:r>
      <w:r w:rsidRPr="00A1260E">
        <w:rPr>
          <w:rFonts w:asciiTheme="majorBidi" w:hAnsiTheme="majorBidi" w:cstheme="majorBidi"/>
          <w:i/>
          <w:iCs/>
          <w:sz w:val="22"/>
          <w:szCs w:val="22"/>
        </w:rPr>
        <w:t>The Politics of the Governed: Reflections on Popular Politics in Most of the World</w:t>
      </w:r>
      <w:r w:rsidRPr="00A1260E">
        <w:rPr>
          <w:rFonts w:asciiTheme="majorBidi" w:hAnsiTheme="majorBidi" w:cstheme="majorBidi"/>
          <w:sz w:val="22"/>
          <w:szCs w:val="22"/>
        </w:rPr>
        <w:t xml:space="preserve">, by Partha Chatterjee,” </w:t>
      </w:r>
      <w:r w:rsidRPr="00A1260E">
        <w:rPr>
          <w:rFonts w:asciiTheme="majorBidi" w:hAnsiTheme="majorBidi" w:cstheme="majorBidi"/>
          <w:i/>
          <w:iCs/>
          <w:sz w:val="22"/>
          <w:szCs w:val="22"/>
        </w:rPr>
        <w:t xml:space="preserve">Arab Studies Journal, </w:t>
      </w:r>
      <w:r w:rsidRPr="00A1260E">
        <w:rPr>
          <w:rFonts w:asciiTheme="majorBidi" w:hAnsiTheme="majorBidi" w:cstheme="majorBidi"/>
          <w:sz w:val="22"/>
          <w:szCs w:val="22"/>
        </w:rPr>
        <w:t>vols</w:t>
      </w:r>
      <w:r w:rsidRPr="00A1260E">
        <w:rPr>
          <w:rFonts w:asciiTheme="majorBidi" w:hAnsiTheme="majorBidi" w:cstheme="majorBidi"/>
          <w:i/>
          <w:iCs/>
          <w:sz w:val="22"/>
          <w:szCs w:val="22"/>
        </w:rPr>
        <w:t xml:space="preserve">. </w:t>
      </w:r>
      <w:r w:rsidRPr="00A1260E">
        <w:rPr>
          <w:rFonts w:asciiTheme="majorBidi" w:hAnsiTheme="majorBidi" w:cstheme="majorBidi"/>
          <w:sz w:val="22"/>
          <w:szCs w:val="22"/>
        </w:rPr>
        <w:t xml:space="preserve">13-14 (2005-2006), 141-44. </w:t>
      </w:r>
    </w:p>
    <w:p w14:paraId="23834372" w14:textId="77777777" w:rsidR="0083503B" w:rsidRDefault="0083503B" w:rsidP="0067130F">
      <w:pPr>
        <w:rPr>
          <w:rFonts w:asciiTheme="majorBidi" w:hAnsiTheme="majorBidi" w:cstheme="majorBidi"/>
          <w:b/>
          <w:bCs/>
          <w:color w:val="FFFFFF" w:themeColor="background1"/>
          <w:sz w:val="22"/>
          <w:szCs w:val="22"/>
          <w:highlight w:val="black"/>
        </w:rPr>
      </w:pPr>
    </w:p>
    <w:p w14:paraId="50DC4F4D" w14:textId="662343E6" w:rsidR="005B3444" w:rsidRDefault="00F03BF1" w:rsidP="00624D64">
      <w:pPr>
        <w:rPr>
          <w:rFonts w:asciiTheme="majorBidi" w:hAnsiTheme="majorBidi" w:cstheme="majorBidi"/>
          <w:b/>
          <w:bCs/>
          <w:color w:val="FFFFFF" w:themeColor="background1"/>
          <w:sz w:val="22"/>
          <w:szCs w:val="22"/>
          <w:highlight w:val="black"/>
        </w:rPr>
      </w:pPr>
      <w:r w:rsidRPr="00A1260E">
        <w:rPr>
          <w:rFonts w:asciiTheme="majorBidi" w:hAnsiTheme="majorBidi" w:cstheme="majorBidi"/>
          <w:b/>
          <w:bCs/>
          <w:color w:val="FFFFFF" w:themeColor="background1"/>
          <w:sz w:val="22"/>
          <w:szCs w:val="22"/>
          <w:highlight w:val="black"/>
        </w:rPr>
        <w:t xml:space="preserve">CONFERENCE PAPERS </w:t>
      </w:r>
    </w:p>
    <w:p w14:paraId="4F65C483" w14:textId="573F562E" w:rsidR="001733A4" w:rsidRDefault="00CA10DC" w:rsidP="0067130F">
      <w:pPr>
        <w:ind w:left="567" w:hanging="567"/>
        <w:rPr>
          <w:rFonts w:asciiTheme="majorBidi" w:hAnsiTheme="majorBidi" w:cstheme="majorBidi"/>
          <w:sz w:val="22"/>
          <w:szCs w:val="22"/>
          <w:lang w:val="en-US"/>
        </w:rPr>
      </w:pPr>
      <w:r>
        <w:rPr>
          <w:rFonts w:asciiTheme="majorBidi" w:hAnsiTheme="majorBidi" w:cstheme="majorBidi"/>
          <w:sz w:val="22"/>
          <w:szCs w:val="22"/>
          <w:lang w:val="en-US"/>
        </w:rPr>
        <w:t>“</w:t>
      </w:r>
      <w:r w:rsidR="007720B6">
        <w:rPr>
          <w:rFonts w:asciiTheme="majorBidi" w:hAnsiTheme="majorBidi" w:cstheme="majorBidi"/>
          <w:sz w:val="22"/>
          <w:szCs w:val="22"/>
          <w:lang w:val="en-US"/>
        </w:rPr>
        <w:t xml:space="preserve">Land Records and the Struggle for Palestine: The </w:t>
      </w:r>
      <w:proofErr w:type="spellStart"/>
      <w:r w:rsidR="007720B6">
        <w:rPr>
          <w:rFonts w:asciiTheme="majorBidi" w:hAnsiTheme="majorBidi" w:cstheme="majorBidi"/>
          <w:sz w:val="22"/>
          <w:szCs w:val="22"/>
          <w:lang w:val="en-US"/>
        </w:rPr>
        <w:t>Tapu</w:t>
      </w:r>
      <w:proofErr w:type="spellEnd"/>
      <w:r w:rsidR="007720B6">
        <w:rPr>
          <w:rFonts w:asciiTheme="majorBidi" w:hAnsiTheme="majorBidi" w:cstheme="majorBidi"/>
          <w:sz w:val="22"/>
          <w:szCs w:val="22"/>
          <w:lang w:val="en-US"/>
        </w:rPr>
        <w:t xml:space="preserve"> Records, Society, and the State, 1858-1948.” Paper presented at the conference “</w:t>
      </w:r>
      <w:proofErr w:type="spellStart"/>
      <w:r w:rsidR="001733A4" w:rsidRPr="001733A4">
        <w:rPr>
          <w:rFonts w:asciiTheme="majorBidi" w:hAnsiTheme="majorBidi" w:cstheme="majorBidi"/>
          <w:sz w:val="22"/>
          <w:szCs w:val="22"/>
          <w:lang w:val="en-US"/>
        </w:rPr>
        <w:t>Ostour</w:t>
      </w:r>
      <w:proofErr w:type="spellEnd"/>
      <w:r w:rsidR="001733A4" w:rsidRPr="001733A4">
        <w:rPr>
          <w:rFonts w:asciiTheme="majorBidi" w:hAnsiTheme="majorBidi" w:cstheme="majorBidi"/>
          <w:sz w:val="22"/>
          <w:szCs w:val="22"/>
          <w:lang w:val="en-US"/>
        </w:rPr>
        <w:t xml:space="preserve"> Symposium: Historical Writing in Palestine</w:t>
      </w:r>
      <w:r w:rsidR="007720B6">
        <w:rPr>
          <w:rFonts w:asciiTheme="majorBidi" w:hAnsiTheme="majorBidi" w:cstheme="majorBidi"/>
          <w:sz w:val="22"/>
          <w:szCs w:val="22"/>
          <w:lang w:val="en-US"/>
        </w:rPr>
        <w:t xml:space="preserve">,” organized by the Arab Center for Research and Policy Studies, </w:t>
      </w:r>
      <w:r w:rsidR="001733A4" w:rsidRPr="001733A4">
        <w:rPr>
          <w:rFonts w:asciiTheme="majorBidi" w:hAnsiTheme="majorBidi" w:cstheme="majorBidi"/>
          <w:sz w:val="22"/>
          <w:szCs w:val="22"/>
          <w:lang w:val="en-US"/>
        </w:rPr>
        <w:t>Doha </w:t>
      </w:r>
      <w:r w:rsidR="007720B6">
        <w:rPr>
          <w:rFonts w:asciiTheme="majorBidi" w:hAnsiTheme="majorBidi" w:cstheme="majorBidi"/>
          <w:sz w:val="22"/>
          <w:szCs w:val="22"/>
          <w:lang w:val="en-US"/>
        </w:rPr>
        <w:t xml:space="preserve">(January </w:t>
      </w:r>
      <w:r w:rsidR="001733A4" w:rsidRPr="001733A4">
        <w:rPr>
          <w:rFonts w:asciiTheme="majorBidi" w:hAnsiTheme="majorBidi" w:cstheme="majorBidi"/>
          <w:sz w:val="22"/>
          <w:szCs w:val="22"/>
          <w:lang w:val="en-US"/>
        </w:rPr>
        <w:t>29</w:t>
      </w:r>
      <w:r w:rsidR="007720B6">
        <w:rPr>
          <w:rFonts w:asciiTheme="majorBidi" w:hAnsiTheme="majorBidi" w:cstheme="majorBidi"/>
          <w:sz w:val="22"/>
          <w:szCs w:val="22"/>
          <w:lang w:val="en-US"/>
        </w:rPr>
        <w:t>-</w:t>
      </w:r>
      <w:r w:rsidR="001733A4" w:rsidRPr="001733A4">
        <w:rPr>
          <w:rFonts w:asciiTheme="majorBidi" w:hAnsiTheme="majorBidi" w:cstheme="majorBidi"/>
          <w:sz w:val="22"/>
          <w:szCs w:val="22"/>
          <w:lang w:val="en-US"/>
        </w:rPr>
        <w:t>30, 2023</w:t>
      </w:r>
      <w:r w:rsidR="007720B6">
        <w:rPr>
          <w:rFonts w:asciiTheme="majorBidi" w:hAnsiTheme="majorBidi" w:cstheme="majorBidi"/>
          <w:sz w:val="22"/>
          <w:szCs w:val="22"/>
          <w:lang w:val="en-US"/>
        </w:rPr>
        <w:t>).</w:t>
      </w:r>
    </w:p>
    <w:p w14:paraId="018304D0" w14:textId="09FF1823" w:rsidR="009717E7" w:rsidRPr="009717E7" w:rsidRDefault="009717E7" w:rsidP="0067130F">
      <w:pPr>
        <w:ind w:left="567" w:hanging="567"/>
        <w:rPr>
          <w:rFonts w:asciiTheme="majorBidi" w:hAnsiTheme="majorBidi" w:cstheme="majorBidi"/>
          <w:sz w:val="22"/>
          <w:szCs w:val="22"/>
          <w:lang w:val="en-US"/>
        </w:rPr>
      </w:pPr>
      <w:r w:rsidRPr="00CA10DC">
        <w:rPr>
          <w:rFonts w:asciiTheme="majorBidi" w:hAnsiTheme="majorBidi" w:cstheme="majorBidi"/>
          <w:sz w:val="22"/>
          <w:szCs w:val="22"/>
          <w:lang w:val="en-US"/>
        </w:rPr>
        <w:t>“</w:t>
      </w:r>
      <w:hyperlink r:id="rId11" w:history="1">
        <w:r w:rsidRPr="00CA10DC">
          <w:rPr>
            <w:rFonts w:asciiTheme="majorBidi" w:hAnsiTheme="majorBidi" w:cstheme="majorBidi"/>
            <w:sz w:val="22"/>
            <w:szCs w:val="22"/>
            <w:lang w:val="en-US"/>
          </w:rPr>
          <w:t>Keynote I: The Mandate Period as Ru</w:t>
        </w:r>
        <w:r w:rsidRPr="00CA10DC">
          <w:rPr>
            <w:rFonts w:asciiTheme="majorBidi" w:hAnsiTheme="majorBidi" w:cstheme="majorBidi"/>
            <w:sz w:val="22"/>
            <w:szCs w:val="22"/>
            <w:lang w:val="en-US"/>
          </w:rPr>
          <w:t>p</w:t>
        </w:r>
        <w:r w:rsidRPr="00CA10DC">
          <w:rPr>
            <w:rFonts w:asciiTheme="majorBidi" w:hAnsiTheme="majorBidi" w:cstheme="majorBidi"/>
            <w:sz w:val="22"/>
            <w:szCs w:val="22"/>
            <w:lang w:val="en-US"/>
          </w:rPr>
          <w:t>ture: How to Read</w:t>
        </w:r>
        <w:r w:rsidRPr="00CA10DC">
          <w:rPr>
            <w:rFonts w:asciiTheme="majorBidi" w:hAnsiTheme="majorBidi" w:cstheme="majorBidi"/>
            <w:sz w:val="22"/>
            <w:szCs w:val="22"/>
            <w:lang w:val="en-US"/>
          </w:rPr>
          <w:t xml:space="preserve"> </w:t>
        </w:r>
        <w:r w:rsidR="00CA10DC">
          <w:rPr>
            <w:rFonts w:asciiTheme="majorBidi" w:hAnsiTheme="majorBidi" w:cstheme="majorBidi"/>
            <w:sz w:val="22"/>
            <w:szCs w:val="22"/>
            <w:lang w:val="en-US"/>
          </w:rPr>
          <w:t xml:space="preserve">Land </w:t>
        </w:r>
        <w:r w:rsidRPr="00CA10DC">
          <w:rPr>
            <w:rFonts w:asciiTheme="majorBidi" w:hAnsiTheme="majorBidi" w:cstheme="majorBidi"/>
            <w:sz w:val="22"/>
            <w:szCs w:val="22"/>
            <w:lang w:val="en-US"/>
          </w:rPr>
          <w:t>Archives?</w:t>
        </w:r>
      </w:hyperlink>
      <w:r>
        <w:rPr>
          <w:rFonts w:asciiTheme="majorBidi" w:hAnsiTheme="majorBidi" w:cstheme="majorBidi"/>
          <w:sz w:val="22"/>
          <w:szCs w:val="22"/>
          <w:lang w:val="en-US"/>
        </w:rPr>
        <w:t>”</w:t>
      </w:r>
      <w:r w:rsidR="00CA10DC">
        <w:rPr>
          <w:rFonts w:asciiTheme="majorBidi" w:hAnsiTheme="majorBidi" w:cstheme="majorBidi"/>
          <w:sz w:val="22"/>
          <w:szCs w:val="22"/>
          <w:lang w:val="en-US"/>
        </w:rPr>
        <w:t xml:space="preserve"> Paper presented at the conference “</w:t>
      </w:r>
      <w:r w:rsidR="00CA10DC" w:rsidRPr="00CA10DC">
        <w:rPr>
          <w:rFonts w:asciiTheme="majorBidi" w:hAnsiTheme="majorBidi" w:cstheme="majorBidi"/>
          <w:sz w:val="22"/>
          <w:szCs w:val="22"/>
          <w:lang w:val="en-US"/>
        </w:rPr>
        <w:t>Reassessing the British Mandate in Palestine</w:t>
      </w:r>
      <w:r w:rsidR="00CA10DC">
        <w:rPr>
          <w:rFonts w:asciiTheme="majorBidi" w:hAnsiTheme="majorBidi" w:cstheme="majorBidi"/>
          <w:sz w:val="22"/>
          <w:szCs w:val="22"/>
          <w:lang w:val="en-US"/>
        </w:rPr>
        <w:t xml:space="preserve">,” organized by the Institute for Palestinian Studies at Birzeit University </w:t>
      </w:r>
      <w:r w:rsidR="007720B6">
        <w:rPr>
          <w:rFonts w:asciiTheme="majorBidi" w:hAnsiTheme="majorBidi" w:cstheme="majorBidi"/>
          <w:sz w:val="22"/>
          <w:szCs w:val="22"/>
          <w:lang w:val="en-US"/>
        </w:rPr>
        <w:t>(</w:t>
      </w:r>
      <w:r w:rsidR="00CA10DC">
        <w:rPr>
          <w:rFonts w:asciiTheme="majorBidi" w:hAnsiTheme="majorBidi" w:cstheme="majorBidi"/>
          <w:sz w:val="22"/>
          <w:szCs w:val="22"/>
          <w:lang w:val="en-US"/>
        </w:rPr>
        <w:t>October 31-November 2, 2022</w:t>
      </w:r>
      <w:r w:rsidR="007720B6">
        <w:rPr>
          <w:rFonts w:asciiTheme="majorBidi" w:hAnsiTheme="majorBidi" w:cstheme="majorBidi"/>
          <w:sz w:val="22"/>
          <w:szCs w:val="22"/>
          <w:lang w:val="en-US"/>
        </w:rPr>
        <w:t>)</w:t>
      </w:r>
      <w:r w:rsidR="00CA10DC">
        <w:rPr>
          <w:rFonts w:asciiTheme="majorBidi" w:hAnsiTheme="majorBidi" w:cstheme="majorBidi"/>
          <w:sz w:val="22"/>
          <w:szCs w:val="22"/>
          <w:lang w:val="en-US"/>
        </w:rPr>
        <w:t>.</w:t>
      </w:r>
    </w:p>
    <w:p w14:paraId="1AD5DD19" w14:textId="54AE2E18" w:rsidR="00E27137" w:rsidRPr="00A1260E" w:rsidRDefault="00E27137" w:rsidP="0067130F">
      <w:pPr>
        <w:ind w:left="567" w:hanging="567"/>
        <w:rPr>
          <w:rFonts w:asciiTheme="majorBidi" w:hAnsiTheme="majorBidi" w:cstheme="majorBidi"/>
          <w:sz w:val="22"/>
          <w:szCs w:val="22"/>
          <w:lang w:val="en-US"/>
        </w:rPr>
      </w:pPr>
      <w:r w:rsidRPr="002A7205">
        <w:rPr>
          <w:rFonts w:asciiTheme="majorBidi" w:hAnsiTheme="majorBidi" w:cstheme="majorBidi"/>
          <w:sz w:val="22"/>
          <w:szCs w:val="22"/>
          <w:lang w:val="en-US"/>
        </w:rPr>
        <w:t>“</w:t>
      </w:r>
      <w:r w:rsidRPr="00A1260E">
        <w:rPr>
          <w:rFonts w:asciiTheme="majorBidi" w:hAnsiTheme="majorBidi" w:cstheme="majorBidi"/>
          <w:sz w:val="22"/>
          <w:szCs w:val="22"/>
          <w:lang w:val="en-US"/>
        </w:rPr>
        <w:t>British Land Reform and the Frontier Situation in Palestine</w:t>
      </w:r>
      <w:r w:rsidR="00CA10DC">
        <w:rPr>
          <w:rFonts w:asciiTheme="majorBidi" w:hAnsiTheme="majorBidi" w:cstheme="majorBidi"/>
          <w:sz w:val="22"/>
          <w:szCs w:val="22"/>
          <w:lang w:val="en-US"/>
        </w:rPr>
        <w:t>.</w:t>
      </w:r>
      <w:r w:rsidRPr="002A7205">
        <w:rPr>
          <w:rFonts w:asciiTheme="majorBidi" w:hAnsiTheme="majorBidi" w:cstheme="majorBidi"/>
          <w:sz w:val="22"/>
          <w:szCs w:val="22"/>
          <w:lang w:val="en-US"/>
        </w:rPr>
        <w:t>” Paper presented at the conference “</w:t>
      </w:r>
      <w:r w:rsidR="00C6663E" w:rsidRPr="002A7205">
        <w:rPr>
          <w:rFonts w:asciiTheme="majorBidi" w:hAnsiTheme="majorBidi" w:cstheme="majorBidi"/>
          <w:sz w:val="22"/>
          <w:szCs w:val="22"/>
          <w:lang w:val="en-US"/>
        </w:rPr>
        <w:t>Who</w:t>
      </w:r>
      <w:r w:rsidR="00C6663E" w:rsidRPr="00A1260E">
        <w:rPr>
          <w:rFonts w:asciiTheme="majorBidi" w:hAnsiTheme="majorBidi" w:cstheme="majorBidi"/>
          <w:sz w:val="22"/>
          <w:szCs w:val="22"/>
        </w:rPr>
        <w:t xml:space="preserve"> Owns Palestine? Seventh Annual Workshop on New Directions in Palestinian Studies,</w:t>
      </w:r>
      <w:r w:rsidR="007A76F1" w:rsidRPr="00A1260E">
        <w:rPr>
          <w:rFonts w:asciiTheme="majorBidi" w:hAnsiTheme="majorBidi" w:cstheme="majorBidi"/>
          <w:sz w:val="22"/>
          <w:szCs w:val="22"/>
        </w:rPr>
        <w:t>”</w:t>
      </w:r>
      <w:r w:rsidR="00C6663E" w:rsidRPr="00A1260E">
        <w:rPr>
          <w:rFonts w:asciiTheme="majorBidi" w:hAnsiTheme="majorBidi" w:cstheme="majorBidi"/>
          <w:sz w:val="22"/>
          <w:szCs w:val="22"/>
        </w:rPr>
        <w:t xml:space="preserve"> organized by Beshara Doumani and Paul Kohlbry, at the </w:t>
      </w:r>
      <w:r w:rsidR="00C6663E" w:rsidRPr="00A1260E">
        <w:rPr>
          <w:rFonts w:asciiTheme="majorBidi" w:hAnsiTheme="majorBidi" w:cstheme="majorBidi"/>
          <w:sz w:val="22"/>
          <w:szCs w:val="22"/>
          <w:lang w:val="en-US"/>
        </w:rPr>
        <w:t>Watson Institute for International and Public Affairs</w:t>
      </w:r>
      <w:r w:rsidR="00C6663E" w:rsidRPr="00A1260E">
        <w:rPr>
          <w:rFonts w:asciiTheme="majorBidi" w:hAnsiTheme="majorBidi" w:cstheme="majorBidi"/>
          <w:sz w:val="22"/>
          <w:szCs w:val="22"/>
        </w:rPr>
        <w:t>, Brown University, Providence (</w:t>
      </w:r>
      <w:r w:rsidRPr="00A1260E">
        <w:rPr>
          <w:rFonts w:asciiTheme="majorBidi" w:hAnsiTheme="majorBidi" w:cstheme="majorBidi"/>
          <w:sz w:val="22"/>
          <w:szCs w:val="22"/>
          <w:lang w:val="en-US"/>
        </w:rPr>
        <w:t>March 6</w:t>
      </w:r>
      <w:r w:rsidR="007720B6">
        <w:rPr>
          <w:rFonts w:asciiTheme="majorBidi" w:hAnsiTheme="majorBidi" w:cstheme="majorBidi"/>
          <w:sz w:val="22"/>
          <w:szCs w:val="22"/>
          <w:lang w:val="en-US"/>
        </w:rPr>
        <w:t>-</w:t>
      </w:r>
      <w:r w:rsidRPr="00A1260E">
        <w:rPr>
          <w:rFonts w:asciiTheme="majorBidi" w:hAnsiTheme="majorBidi" w:cstheme="majorBidi"/>
          <w:sz w:val="22"/>
          <w:szCs w:val="22"/>
          <w:lang w:val="en-US"/>
        </w:rPr>
        <w:t>7, 2020</w:t>
      </w:r>
      <w:r w:rsidR="00C6663E" w:rsidRPr="00A1260E">
        <w:rPr>
          <w:rFonts w:asciiTheme="majorBidi" w:hAnsiTheme="majorBidi" w:cstheme="majorBidi"/>
          <w:sz w:val="22"/>
          <w:szCs w:val="22"/>
        </w:rPr>
        <w:t>).</w:t>
      </w:r>
    </w:p>
    <w:p w14:paraId="325F2D32" w14:textId="77777777" w:rsidR="00F03BF1" w:rsidRPr="00A1260E" w:rsidRDefault="00F03BF1" w:rsidP="0067130F">
      <w:pPr>
        <w:ind w:left="567" w:hanging="567"/>
        <w:rPr>
          <w:rFonts w:asciiTheme="majorBidi" w:hAnsiTheme="majorBidi" w:cstheme="majorBidi"/>
        </w:rPr>
      </w:pPr>
      <w:r w:rsidRPr="00A1260E">
        <w:rPr>
          <w:rFonts w:asciiTheme="majorBidi" w:hAnsiTheme="majorBidi" w:cstheme="majorBidi"/>
          <w:sz w:val="22"/>
          <w:szCs w:val="22"/>
        </w:rPr>
        <w:t xml:space="preserve">“Testing the Limits of Liberalism: Nahda Reformers in Palestine and the Transition from Ottoman to British Rule, 1909-1923.” Paper presented at the conference “The Arab Nahda in its Regional and Global Contexts,” Oxford University, Oxford, UK (April 22-23, 2015). </w:t>
      </w:r>
    </w:p>
    <w:p w14:paraId="08559A14" w14:textId="23CCE986" w:rsidR="00F03BF1" w:rsidRPr="00A1260E" w:rsidRDefault="00F03BF1" w:rsidP="0067130F">
      <w:pPr>
        <w:ind w:left="567" w:hanging="567"/>
        <w:rPr>
          <w:rFonts w:asciiTheme="majorBidi" w:hAnsiTheme="majorBidi" w:cstheme="majorBidi"/>
          <w:sz w:val="22"/>
          <w:szCs w:val="22"/>
        </w:rPr>
      </w:pPr>
      <w:r w:rsidRPr="00A1260E">
        <w:rPr>
          <w:rFonts w:asciiTheme="majorBidi" w:hAnsiTheme="majorBidi" w:cstheme="majorBidi"/>
          <w:sz w:val="22"/>
          <w:szCs w:val="22"/>
        </w:rPr>
        <w:t xml:space="preserve">“The heterogeneous space of property: Structural and Analytical Notes on the Beisan land settlement in British-ruled Palestine, 1921-1948.” Paper presented at the conference “Political Economy and the Economy of Politics: New Directions in Palestinian Studies,” </w:t>
      </w:r>
      <w:r w:rsidR="00C6663E" w:rsidRPr="00A1260E">
        <w:rPr>
          <w:rFonts w:asciiTheme="majorBidi" w:hAnsiTheme="majorBidi" w:cstheme="majorBidi"/>
          <w:sz w:val="22"/>
          <w:szCs w:val="22"/>
        </w:rPr>
        <w:t xml:space="preserve">organized by Beshara Doumani and Sa’ed Athsan at the </w:t>
      </w:r>
      <w:r w:rsidR="00C6663E" w:rsidRPr="00A1260E">
        <w:rPr>
          <w:rFonts w:asciiTheme="majorBidi" w:hAnsiTheme="majorBidi" w:cstheme="majorBidi"/>
          <w:sz w:val="22"/>
          <w:szCs w:val="22"/>
          <w:lang w:val="en-US"/>
        </w:rPr>
        <w:t>Watson Institute for International and Public Affairs</w:t>
      </w:r>
      <w:r w:rsidR="00C6663E" w:rsidRPr="00A1260E">
        <w:rPr>
          <w:rFonts w:asciiTheme="majorBidi" w:hAnsiTheme="majorBidi" w:cstheme="majorBidi"/>
          <w:sz w:val="22"/>
          <w:szCs w:val="22"/>
        </w:rPr>
        <w:t xml:space="preserve">, Brown University, Providence </w:t>
      </w:r>
      <w:r w:rsidRPr="00A1260E">
        <w:rPr>
          <w:rFonts w:asciiTheme="majorBidi" w:hAnsiTheme="majorBidi" w:cstheme="majorBidi"/>
          <w:sz w:val="22"/>
          <w:szCs w:val="22"/>
        </w:rPr>
        <w:t>(February 28</w:t>
      </w:r>
      <w:r w:rsidR="007720B6">
        <w:rPr>
          <w:rFonts w:asciiTheme="majorBidi" w:hAnsiTheme="majorBidi" w:cstheme="majorBidi"/>
          <w:sz w:val="22"/>
          <w:szCs w:val="22"/>
          <w:lang w:val="en-US"/>
        </w:rPr>
        <w:t>-</w:t>
      </w:r>
      <w:r w:rsidRPr="00A1260E">
        <w:rPr>
          <w:rFonts w:asciiTheme="majorBidi" w:hAnsiTheme="majorBidi" w:cstheme="majorBidi"/>
          <w:sz w:val="22"/>
          <w:szCs w:val="22"/>
        </w:rPr>
        <w:t xml:space="preserve">March 1, 2014). </w:t>
      </w:r>
    </w:p>
    <w:p w14:paraId="5704AC9C" w14:textId="77777777" w:rsidR="00F03BF1" w:rsidRPr="00A1260E" w:rsidRDefault="00F03BF1" w:rsidP="0067130F">
      <w:pPr>
        <w:ind w:left="567" w:hanging="567"/>
        <w:rPr>
          <w:rFonts w:asciiTheme="majorBidi" w:hAnsiTheme="majorBidi" w:cstheme="majorBidi"/>
        </w:rPr>
      </w:pPr>
      <w:r w:rsidRPr="00A1260E">
        <w:rPr>
          <w:rFonts w:asciiTheme="majorBidi" w:hAnsiTheme="majorBidi" w:cstheme="majorBidi"/>
          <w:sz w:val="22"/>
          <w:szCs w:val="22"/>
        </w:rPr>
        <w:t xml:space="preserve">“Land and sovereignty in late Ottoman and British-ruled Palestine, 1858-1948.” Paper presented at the 2013- 2014 Seminar for Advanced Research in the Social Sciences and History, at the Institute for Palestine Studies, Ramallah (November 29, 2013). </w:t>
      </w:r>
    </w:p>
    <w:p w14:paraId="695EB11D" w14:textId="3AD8CD6D" w:rsidR="00F03BF1" w:rsidRPr="00A1260E" w:rsidRDefault="00F03BF1" w:rsidP="0067130F">
      <w:pPr>
        <w:ind w:left="567" w:hanging="567"/>
        <w:rPr>
          <w:rFonts w:asciiTheme="majorBidi" w:hAnsiTheme="majorBidi" w:cstheme="majorBidi"/>
        </w:rPr>
      </w:pPr>
      <w:r w:rsidRPr="00A1260E">
        <w:rPr>
          <w:rFonts w:asciiTheme="majorBidi" w:hAnsiTheme="majorBidi" w:cstheme="majorBidi"/>
          <w:sz w:val="22"/>
          <w:szCs w:val="22"/>
        </w:rPr>
        <w:t>“The politics of landholding in British-ruled Palestine, 1921-1948: land reform and the impoverishment of a rural society.” Paper presented at Middle East Studies Association Annual Meeting, Denver (November 17</w:t>
      </w:r>
      <w:r w:rsidR="007720B6">
        <w:rPr>
          <w:rFonts w:asciiTheme="majorBidi" w:hAnsiTheme="majorBidi" w:cstheme="majorBidi"/>
          <w:sz w:val="22"/>
          <w:szCs w:val="22"/>
          <w:lang w:val="en-US"/>
        </w:rPr>
        <w:t>-</w:t>
      </w:r>
      <w:r w:rsidRPr="00A1260E">
        <w:rPr>
          <w:rFonts w:asciiTheme="majorBidi" w:hAnsiTheme="majorBidi" w:cstheme="majorBidi"/>
          <w:sz w:val="22"/>
          <w:szCs w:val="22"/>
        </w:rPr>
        <w:t xml:space="preserve">20, 2012). </w:t>
      </w:r>
    </w:p>
    <w:p w14:paraId="70BD9A92" w14:textId="77777777" w:rsidR="00F03BF1" w:rsidRPr="00A1260E" w:rsidRDefault="00F03BF1" w:rsidP="0067130F">
      <w:pPr>
        <w:ind w:left="567" w:hanging="567"/>
        <w:rPr>
          <w:rFonts w:asciiTheme="majorBidi" w:hAnsiTheme="majorBidi" w:cstheme="majorBidi"/>
        </w:rPr>
      </w:pPr>
      <w:r w:rsidRPr="00A1260E">
        <w:rPr>
          <w:rFonts w:asciiTheme="majorBidi" w:hAnsiTheme="majorBidi" w:cstheme="majorBidi"/>
          <w:sz w:val="22"/>
          <w:szCs w:val="22"/>
        </w:rPr>
        <w:t xml:space="preserve">“How Syrian artists shape cultural practices in a communal context: the case of Fateh Al-Mudarris Center for Arts and Culture in the occupied Golan Heights.” Paper presented at the conference “Teaching Arab Intellectual Thought and the Changing Role of the Literati,” Columbia University, New York (May 7-9, 2011). </w:t>
      </w:r>
    </w:p>
    <w:p w14:paraId="34DFC89A" w14:textId="77777777" w:rsidR="00F03BF1" w:rsidRPr="00A1260E" w:rsidRDefault="00F03BF1" w:rsidP="0067130F">
      <w:pPr>
        <w:ind w:left="567" w:hanging="567"/>
        <w:rPr>
          <w:rFonts w:asciiTheme="majorBidi" w:hAnsiTheme="majorBidi" w:cstheme="majorBidi"/>
        </w:rPr>
      </w:pPr>
      <w:r w:rsidRPr="00A1260E">
        <w:rPr>
          <w:rFonts w:asciiTheme="majorBidi" w:hAnsiTheme="majorBidi" w:cstheme="majorBidi"/>
          <w:sz w:val="22"/>
          <w:szCs w:val="22"/>
        </w:rPr>
        <w:t>“The legacy of sultan Abdulhamid II’s imperial estates in Beisan: private property and sovereignty in late Ottoman and early British-occupied Palestine, 1876-1921.” Paper presented at the 12</w:t>
      </w:r>
      <w:r w:rsidRPr="00A1260E">
        <w:rPr>
          <w:rFonts w:asciiTheme="majorBidi" w:hAnsiTheme="majorBidi" w:cstheme="majorBidi"/>
          <w:position w:val="10"/>
          <w:sz w:val="15"/>
          <w:szCs w:val="15"/>
        </w:rPr>
        <w:t xml:space="preserve">th </w:t>
      </w:r>
      <w:r w:rsidRPr="00A1260E">
        <w:rPr>
          <w:rFonts w:asciiTheme="majorBidi" w:hAnsiTheme="majorBidi" w:cstheme="majorBidi"/>
          <w:sz w:val="22"/>
          <w:szCs w:val="22"/>
        </w:rPr>
        <w:t xml:space="preserve">Mediterranean Research Meeting, Florence (April 7-9, 2011). </w:t>
      </w:r>
    </w:p>
    <w:p w14:paraId="081F95A3" w14:textId="77777777" w:rsidR="00F03BF1" w:rsidRPr="00A1260E" w:rsidRDefault="00F03BF1" w:rsidP="0067130F">
      <w:pPr>
        <w:ind w:left="567" w:hanging="567"/>
        <w:rPr>
          <w:rFonts w:asciiTheme="majorBidi" w:hAnsiTheme="majorBidi" w:cstheme="majorBidi"/>
        </w:rPr>
      </w:pPr>
      <w:r w:rsidRPr="00A1260E">
        <w:rPr>
          <w:rFonts w:asciiTheme="majorBidi" w:hAnsiTheme="majorBidi" w:cstheme="majorBidi"/>
          <w:sz w:val="22"/>
          <w:szCs w:val="22"/>
        </w:rPr>
        <w:t xml:space="preserve">“The Golan Heights between south Syria and north Palestine: commonalities, differences, and blurred boundaries of identity.” Paper presented at the conference “(Re)searching Palestine: Research Gaps and Horizons,” organized by the Institute for Palestine Studies at Birzeit University (October 30-31, 2010). </w:t>
      </w:r>
    </w:p>
    <w:p w14:paraId="3EBC51F3" w14:textId="77777777" w:rsidR="00F03BF1" w:rsidRPr="00A1260E" w:rsidRDefault="00F03BF1" w:rsidP="0067130F">
      <w:pPr>
        <w:ind w:left="567" w:hanging="567"/>
        <w:rPr>
          <w:rFonts w:asciiTheme="majorBidi" w:hAnsiTheme="majorBidi" w:cstheme="majorBidi"/>
        </w:rPr>
      </w:pPr>
      <w:r w:rsidRPr="00A1260E">
        <w:rPr>
          <w:rFonts w:asciiTheme="majorBidi" w:hAnsiTheme="majorBidi" w:cstheme="majorBidi"/>
          <w:sz w:val="22"/>
          <w:szCs w:val="22"/>
        </w:rPr>
        <w:t xml:space="preserve">“Silvestre de Sacy and the Druzes.” Paper presented at the international colloquium “Silvestre de Sacy (1758- 1838): Le projet européen d’une science orientaliste” organized by Centre national de la recherché scienfitique, l’École normale supérieure, l’Institut du Monde Arabe, and Zentrum Moderner Orient (Berlin), Paris (14-16 October, 2010). </w:t>
      </w:r>
    </w:p>
    <w:p w14:paraId="59A0B8E8" w14:textId="77777777" w:rsidR="00F03BF1" w:rsidRPr="00A1260E" w:rsidRDefault="00F03BF1" w:rsidP="0067130F">
      <w:pPr>
        <w:ind w:left="567" w:hanging="567"/>
        <w:rPr>
          <w:rFonts w:asciiTheme="majorBidi" w:hAnsiTheme="majorBidi" w:cstheme="majorBidi"/>
        </w:rPr>
      </w:pPr>
      <w:r w:rsidRPr="00A1260E">
        <w:rPr>
          <w:rFonts w:asciiTheme="majorBidi" w:hAnsiTheme="majorBidi" w:cstheme="majorBidi"/>
          <w:sz w:val="22"/>
          <w:szCs w:val="22"/>
        </w:rPr>
        <w:t xml:space="preserve">“Property, government, and sovereignty: The national struggle for land in Palestine revisited, 1878-1948.” Paper presented in the Berlin Seminar of the research program “Europe in the Middle East, The Middle East in Europe,” Berlin (28 April 2010). </w:t>
      </w:r>
    </w:p>
    <w:p w14:paraId="05E29020" w14:textId="77777777" w:rsidR="00F03BF1" w:rsidRPr="00A1260E" w:rsidRDefault="00F03BF1" w:rsidP="0067130F">
      <w:pPr>
        <w:ind w:left="567" w:hanging="567"/>
        <w:rPr>
          <w:rFonts w:asciiTheme="majorBidi" w:hAnsiTheme="majorBidi" w:cstheme="majorBidi"/>
        </w:rPr>
      </w:pPr>
      <w:r w:rsidRPr="00A1260E">
        <w:rPr>
          <w:rFonts w:asciiTheme="majorBidi" w:hAnsiTheme="majorBidi" w:cstheme="majorBidi"/>
          <w:sz w:val="22"/>
          <w:szCs w:val="22"/>
        </w:rPr>
        <w:t>“</w:t>
      </w:r>
      <w:r w:rsidRPr="00A1260E">
        <w:rPr>
          <w:rFonts w:asciiTheme="majorBidi" w:hAnsiTheme="majorBidi" w:cstheme="majorBidi"/>
          <w:i/>
          <w:iCs/>
          <w:sz w:val="22"/>
          <w:szCs w:val="22"/>
        </w:rPr>
        <w:t xml:space="preserve">Nahda </w:t>
      </w:r>
      <w:r w:rsidRPr="00A1260E">
        <w:rPr>
          <w:rFonts w:asciiTheme="majorBidi" w:hAnsiTheme="majorBidi" w:cstheme="majorBidi"/>
          <w:sz w:val="22"/>
          <w:szCs w:val="22"/>
        </w:rPr>
        <w:t xml:space="preserve">and its discontents: propertied men, the nation, and the popular classes (1914-1948)." Paper presented in panel titled "A Material </w:t>
      </w:r>
      <w:r w:rsidRPr="00A1260E">
        <w:rPr>
          <w:rFonts w:asciiTheme="majorBidi" w:hAnsiTheme="majorBidi" w:cstheme="majorBidi"/>
          <w:i/>
          <w:iCs/>
          <w:sz w:val="22"/>
          <w:szCs w:val="22"/>
        </w:rPr>
        <w:t>Nahda</w:t>
      </w:r>
      <w:r w:rsidRPr="00A1260E">
        <w:rPr>
          <w:rFonts w:asciiTheme="majorBidi" w:hAnsiTheme="majorBidi" w:cstheme="majorBidi"/>
          <w:sz w:val="22"/>
          <w:szCs w:val="22"/>
        </w:rPr>
        <w:t xml:space="preserve">?," at the Middle East Studies Association Annual Meeting, Boston, (23 November 2009). </w:t>
      </w:r>
    </w:p>
    <w:p w14:paraId="5FBFC80E" w14:textId="77777777" w:rsidR="00F03BF1" w:rsidRPr="00A1260E" w:rsidRDefault="00F03BF1" w:rsidP="0067130F">
      <w:pPr>
        <w:ind w:left="567" w:hanging="567"/>
        <w:rPr>
          <w:rFonts w:asciiTheme="majorBidi" w:hAnsiTheme="majorBidi" w:cstheme="majorBidi"/>
        </w:rPr>
      </w:pPr>
      <w:r w:rsidRPr="00A1260E">
        <w:rPr>
          <w:rFonts w:asciiTheme="majorBidi" w:hAnsiTheme="majorBidi" w:cstheme="majorBidi"/>
          <w:sz w:val="22"/>
          <w:szCs w:val="22"/>
        </w:rPr>
        <w:t xml:space="preserve">"The city, the valley, and the nation: on a post-Ottoman 'land settlement' in Mandate Palestine, 1921-1948." Paper presented at the Ottoman Urban Studies Seminar: Post-Ottoman Cities, organized by Ulrike Freitag and Nora Lafi at Zentrum Moderner Orient, Berlin (16 November 2009). </w:t>
      </w:r>
    </w:p>
    <w:p w14:paraId="5B6AB646" w14:textId="77777777" w:rsidR="00F03BF1" w:rsidRPr="00A1260E" w:rsidRDefault="00F03BF1" w:rsidP="0067130F">
      <w:pPr>
        <w:ind w:left="567" w:hanging="567"/>
        <w:rPr>
          <w:rFonts w:asciiTheme="majorBidi" w:hAnsiTheme="majorBidi" w:cstheme="majorBidi"/>
        </w:rPr>
      </w:pPr>
      <w:r w:rsidRPr="00A1260E">
        <w:rPr>
          <w:rFonts w:asciiTheme="majorBidi" w:hAnsiTheme="majorBidi" w:cstheme="majorBidi"/>
          <w:sz w:val="22"/>
          <w:szCs w:val="22"/>
        </w:rPr>
        <w:t xml:space="preserve">“Undoing Empire: International social sciences and the making of colonial Palestine in the 1930s and 1940s.” Paper presented at the Middle East Studies Association Annual Meeting, Washington D.C. (20 November 2005). </w:t>
      </w:r>
    </w:p>
    <w:p w14:paraId="32CB4494" w14:textId="6E894D4D" w:rsidR="00F53DC8" w:rsidRDefault="00F03BF1" w:rsidP="0067130F">
      <w:pPr>
        <w:ind w:left="567" w:hanging="567"/>
        <w:rPr>
          <w:rFonts w:asciiTheme="majorBidi" w:hAnsiTheme="majorBidi" w:cstheme="majorBidi"/>
          <w:sz w:val="22"/>
          <w:szCs w:val="22"/>
        </w:rPr>
      </w:pPr>
      <w:r w:rsidRPr="00A1260E">
        <w:rPr>
          <w:rFonts w:asciiTheme="majorBidi" w:hAnsiTheme="majorBidi" w:cstheme="majorBidi"/>
          <w:sz w:val="22"/>
          <w:szCs w:val="22"/>
        </w:rPr>
        <w:t xml:space="preserve">“Rethinking the collapse of British rule in Palestine.” Paper presented at the International Center for Advanced Studies Seminar, directed by Timothy Mitchell, at New York University, New York (2 December 2005). </w:t>
      </w:r>
    </w:p>
    <w:p w14:paraId="7E9475C1" w14:textId="77777777" w:rsidR="007720B6" w:rsidRPr="00A1260E" w:rsidRDefault="007720B6" w:rsidP="0067130F">
      <w:pPr>
        <w:rPr>
          <w:rFonts w:asciiTheme="majorBidi" w:hAnsiTheme="majorBidi" w:cstheme="majorBidi"/>
          <w:sz w:val="22"/>
          <w:szCs w:val="22"/>
        </w:rPr>
      </w:pPr>
    </w:p>
    <w:p w14:paraId="28A79CF9" w14:textId="71F0B162" w:rsidR="005B3444" w:rsidRPr="00624D64" w:rsidRDefault="00F03BF1" w:rsidP="00624D64">
      <w:pPr>
        <w:rPr>
          <w:rFonts w:asciiTheme="majorBidi" w:hAnsiTheme="majorBidi" w:cstheme="majorBidi"/>
          <w:b/>
          <w:bCs/>
          <w:color w:val="FFFFFF" w:themeColor="background1"/>
          <w:sz w:val="22"/>
          <w:szCs w:val="22"/>
          <w:highlight w:val="black"/>
        </w:rPr>
      </w:pPr>
      <w:r w:rsidRPr="00A1260E">
        <w:rPr>
          <w:rFonts w:asciiTheme="majorBidi" w:hAnsiTheme="majorBidi" w:cstheme="majorBidi"/>
          <w:b/>
          <w:bCs/>
          <w:color w:val="FFFFFF" w:themeColor="background1"/>
          <w:sz w:val="22"/>
          <w:szCs w:val="22"/>
          <w:highlight w:val="black"/>
        </w:rPr>
        <w:t>COORDINATING CONFERENCES</w:t>
      </w:r>
      <w:r w:rsidR="00BA68F4" w:rsidRPr="00A1260E">
        <w:rPr>
          <w:rFonts w:asciiTheme="majorBidi" w:hAnsiTheme="majorBidi" w:cstheme="majorBidi"/>
          <w:b/>
          <w:bCs/>
          <w:color w:val="FFFFFF" w:themeColor="background1"/>
          <w:sz w:val="22"/>
          <w:szCs w:val="22"/>
          <w:highlight w:val="black"/>
          <w:lang w:val="en-US"/>
        </w:rPr>
        <w:t xml:space="preserve"> &amp; WORKSHOPS</w:t>
      </w:r>
      <w:r w:rsidRPr="00A1260E">
        <w:rPr>
          <w:rFonts w:asciiTheme="majorBidi" w:hAnsiTheme="majorBidi" w:cstheme="majorBidi"/>
          <w:b/>
          <w:bCs/>
          <w:color w:val="FFFFFF" w:themeColor="background1"/>
          <w:sz w:val="22"/>
          <w:szCs w:val="22"/>
          <w:highlight w:val="black"/>
        </w:rPr>
        <w:t xml:space="preserve"> </w:t>
      </w:r>
    </w:p>
    <w:p w14:paraId="5404827E" w14:textId="2EDB2859" w:rsidR="007A443F" w:rsidRPr="00A1260E" w:rsidRDefault="00F03BF1" w:rsidP="0067130F">
      <w:pPr>
        <w:rPr>
          <w:rFonts w:asciiTheme="majorBidi" w:hAnsiTheme="majorBidi" w:cstheme="majorBidi"/>
          <w:sz w:val="22"/>
          <w:szCs w:val="22"/>
        </w:rPr>
      </w:pPr>
      <w:r w:rsidRPr="00A1260E">
        <w:rPr>
          <w:rFonts w:asciiTheme="majorBidi" w:hAnsiTheme="majorBidi" w:cstheme="majorBidi"/>
          <w:b/>
          <w:bCs/>
          <w:sz w:val="22"/>
          <w:szCs w:val="22"/>
        </w:rPr>
        <w:t xml:space="preserve">Institute for Palestine Studies, </w:t>
      </w:r>
      <w:r w:rsidRPr="00A1260E">
        <w:rPr>
          <w:rFonts w:asciiTheme="majorBidi" w:hAnsiTheme="majorBidi" w:cstheme="majorBidi"/>
          <w:sz w:val="22"/>
          <w:szCs w:val="22"/>
        </w:rPr>
        <w:t xml:space="preserve">Ramallah. </w:t>
      </w:r>
    </w:p>
    <w:p w14:paraId="7B787D1B" w14:textId="28A03438" w:rsidR="005B3444" w:rsidRPr="00624D64" w:rsidRDefault="00F03BF1" w:rsidP="00624D64">
      <w:pPr>
        <w:rPr>
          <w:rFonts w:asciiTheme="majorBidi" w:hAnsiTheme="majorBidi" w:cstheme="majorBidi"/>
        </w:rPr>
      </w:pPr>
      <w:r w:rsidRPr="00A1260E">
        <w:rPr>
          <w:rFonts w:asciiTheme="majorBidi" w:hAnsiTheme="majorBidi" w:cstheme="majorBidi"/>
          <w:sz w:val="22"/>
          <w:szCs w:val="22"/>
        </w:rPr>
        <w:t xml:space="preserve">Coordinated conference titled “The 1987 Intifada: History and Memory: Commemorating the Thirtieth Anniversary of the Popular Palestinian Uprising against the Israeli Occupation,” Ramallah – Gaza - Beirut, 24-26, 28-30 November, 2017. </w:t>
      </w:r>
    </w:p>
    <w:p w14:paraId="7769BD41" w14:textId="413DD09A" w:rsidR="007A443F" w:rsidRPr="00A1260E" w:rsidRDefault="00F03BF1" w:rsidP="0067130F">
      <w:pPr>
        <w:rPr>
          <w:rFonts w:asciiTheme="majorBidi" w:hAnsiTheme="majorBidi" w:cstheme="majorBidi"/>
          <w:sz w:val="22"/>
          <w:szCs w:val="22"/>
        </w:rPr>
      </w:pPr>
      <w:r w:rsidRPr="00A1260E">
        <w:rPr>
          <w:rFonts w:asciiTheme="majorBidi" w:hAnsiTheme="majorBidi" w:cstheme="majorBidi"/>
          <w:b/>
          <w:bCs/>
          <w:sz w:val="22"/>
          <w:szCs w:val="22"/>
        </w:rPr>
        <w:t xml:space="preserve">Institute for Palestine Studies, </w:t>
      </w:r>
      <w:r w:rsidRPr="00A1260E">
        <w:rPr>
          <w:rFonts w:asciiTheme="majorBidi" w:hAnsiTheme="majorBidi" w:cstheme="majorBidi"/>
          <w:sz w:val="22"/>
          <w:szCs w:val="22"/>
        </w:rPr>
        <w:t xml:space="preserve">Ramallah. </w:t>
      </w:r>
    </w:p>
    <w:p w14:paraId="21C9FBC0" w14:textId="250003B0" w:rsidR="005B3444" w:rsidRPr="00624D64" w:rsidRDefault="00F03BF1" w:rsidP="00624D64">
      <w:pPr>
        <w:rPr>
          <w:rFonts w:asciiTheme="majorBidi" w:hAnsiTheme="majorBidi" w:cstheme="majorBidi"/>
        </w:rPr>
      </w:pPr>
      <w:r w:rsidRPr="00A1260E">
        <w:rPr>
          <w:rFonts w:asciiTheme="majorBidi" w:hAnsiTheme="majorBidi" w:cstheme="majorBidi"/>
          <w:sz w:val="22"/>
          <w:szCs w:val="22"/>
        </w:rPr>
        <w:t xml:space="preserve">Coordinated conference titled “Present and Future of ‘Area C’ and the Jordan Valley: Strategies of Confronting Israel’s Colonial Control,” Ramallah - Al Bireh, 6-7-8 July 2012. </w:t>
      </w:r>
    </w:p>
    <w:p w14:paraId="24569C5A" w14:textId="58647ADB" w:rsidR="007A443F" w:rsidRPr="00A1260E" w:rsidRDefault="00F03BF1" w:rsidP="0067130F">
      <w:pPr>
        <w:rPr>
          <w:rFonts w:asciiTheme="majorBidi" w:hAnsiTheme="majorBidi" w:cstheme="majorBidi"/>
          <w:sz w:val="22"/>
          <w:szCs w:val="22"/>
        </w:rPr>
      </w:pPr>
      <w:r w:rsidRPr="00A1260E">
        <w:rPr>
          <w:rFonts w:asciiTheme="majorBidi" w:hAnsiTheme="majorBidi" w:cstheme="majorBidi"/>
          <w:b/>
          <w:bCs/>
          <w:sz w:val="22"/>
          <w:szCs w:val="22"/>
        </w:rPr>
        <w:t xml:space="preserve">Muwatin – The Palestinian Institute for the Study of Democracy, </w:t>
      </w:r>
      <w:r w:rsidRPr="00A1260E">
        <w:rPr>
          <w:rFonts w:asciiTheme="majorBidi" w:hAnsiTheme="majorBidi" w:cstheme="majorBidi"/>
          <w:sz w:val="22"/>
          <w:szCs w:val="22"/>
        </w:rPr>
        <w:t xml:space="preserve">Ramallah. </w:t>
      </w:r>
    </w:p>
    <w:p w14:paraId="29B8F3ED" w14:textId="77777777" w:rsidR="00F03BF1" w:rsidRPr="00A1260E" w:rsidRDefault="00F03BF1" w:rsidP="0067130F">
      <w:pPr>
        <w:rPr>
          <w:rFonts w:asciiTheme="majorBidi" w:hAnsiTheme="majorBidi" w:cstheme="majorBidi"/>
        </w:rPr>
      </w:pPr>
      <w:r w:rsidRPr="00A1260E">
        <w:rPr>
          <w:rFonts w:asciiTheme="majorBidi" w:hAnsiTheme="majorBidi" w:cstheme="majorBidi"/>
          <w:sz w:val="22"/>
          <w:szCs w:val="22"/>
        </w:rPr>
        <w:t xml:space="preserve">Organized three workshops on colonial land law in Palestine, 2011-2012. </w:t>
      </w:r>
    </w:p>
    <w:p w14:paraId="7AE20772" w14:textId="77777777" w:rsidR="007720B6" w:rsidRDefault="007720B6" w:rsidP="0067130F">
      <w:pPr>
        <w:rPr>
          <w:rFonts w:asciiTheme="majorBidi" w:hAnsiTheme="majorBidi" w:cstheme="majorBidi"/>
          <w:b/>
          <w:bCs/>
          <w:color w:val="FFFFFF" w:themeColor="background1"/>
          <w:sz w:val="22"/>
          <w:szCs w:val="22"/>
          <w:highlight w:val="black"/>
        </w:rPr>
      </w:pPr>
    </w:p>
    <w:p w14:paraId="4ED4817C" w14:textId="20767137" w:rsidR="007A76F1" w:rsidRPr="00A1260E" w:rsidRDefault="007A76F1" w:rsidP="0067130F">
      <w:pPr>
        <w:rPr>
          <w:rFonts w:asciiTheme="majorBidi" w:hAnsiTheme="majorBidi" w:cstheme="majorBidi"/>
          <w:b/>
          <w:bCs/>
          <w:color w:val="FFFFFF" w:themeColor="background1"/>
          <w:sz w:val="22"/>
          <w:szCs w:val="22"/>
          <w:highlight w:val="black"/>
        </w:rPr>
      </w:pPr>
      <w:r w:rsidRPr="00A1260E">
        <w:rPr>
          <w:rFonts w:asciiTheme="majorBidi" w:hAnsiTheme="majorBidi" w:cstheme="majorBidi"/>
          <w:b/>
          <w:bCs/>
          <w:color w:val="FFFFFF" w:themeColor="background1"/>
          <w:sz w:val="22"/>
          <w:szCs w:val="22"/>
          <w:highlight w:val="black"/>
        </w:rPr>
        <w:t xml:space="preserve">SELECTED COURSES TAUGHT </w:t>
      </w:r>
    </w:p>
    <w:p w14:paraId="108DB65E" w14:textId="77777777" w:rsidR="005B3444" w:rsidRDefault="005B3444" w:rsidP="0067130F">
      <w:pPr>
        <w:rPr>
          <w:rFonts w:asciiTheme="majorBidi" w:hAnsiTheme="majorBidi" w:cstheme="majorBidi"/>
          <w:sz w:val="22"/>
          <w:szCs w:val="22"/>
        </w:rPr>
      </w:pPr>
    </w:p>
    <w:p w14:paraId="497862BD" w14:textId="5CCBC692" w:rsidR="007A76F1" w:rsidRPr="005B3444" w:rsidRDefault="007A76F1" w:rsidP="0067130F">
      <w:pPr>
        <w:pStyle w:val="ListParagraph"/>
        <w:numPr>
          <w:ilvl w:val="0"/>
          <w:numId w:val="7"/>
        </w:numPr>
        <w:rPr>
          <w:rFonts w:asciiTheme="majorBidi" w:hAnsiTheme="majorBidi" w:cstheme="majorBidi"/>
          <w:sz w:val="22"/>
          <w:szCs w:val="22"/>
        </w:rPr>
      </w:pPr>
      <w:r w:rsidRPr="005B3444">
        <w:rPr>
          <w:rFonts w:asciiTheme="majorBidi" w:hAnsiTheme="majorBidi" w:cstheme="majorBidi"/>
          <w:sz w:val="22"/>
          <w:szCs w:val="22"/>
        </w:rPr>
        <w:t>“Special Topic: Land Law and Settler Colonialism in Palestine” (M.A. Seminar, BZU)</w:t>
      </w:r>
    </w:p>
    <w:p w14:paraId="2A70CDB2" w14:textId="77777777" w:rsidR="007A76F1" w:rsidRPr="005B3444" w:rsidRDefault="007A76F1" w:rsidP="0067130F">
      <w:pPr>
        <w:pStyle w:val="ListParagraph"/>
        <w:numPr>
          <w:ilvl w:val="0"/>
          <w:numId w:val="7"/>
        </w:numPr>
        <w:rPr>
          <w:rFonts w:asciiTheme="majorBidi" w:hAnsiTheme="majorBidi" w:cstheme="majorBidi"/>
          <w:sz w:val="22"/>
          <w:szCs w:val="22"/>
        </w:rPr>
      </w:pPr>
      <w:r w:rsidRPr="005B3444">
        <w:rPr>
          <w:rFonts w:asciiTheme="majorBidi" w:hAnsiTheme="majorBidi" w:cstheme="majorBidi"/>
          <w:sz w:val="22"/>
          <w:szCs w:val="22"/>
        </w:rPr>
        <w:t>“Methods in Social Sciences” (M.A. level, BZU)</w:t>
      </w:r>
    </w:p>
    <w:p w14:paraId="448FE1C2" w14:textId="77777777" w:rsidR="007A76F1" w:rsidRPr="005B3444" w:rsidRDefault="007A76F1" w:rsidP="0067130F">
      <w:pPr>
        <w:pStyle w:val="ListParagraph"/>
        <w:numPr>
          <w:ilvl w:val="0"/>
          <w:numId w:val="7"/>
        </w:numPr>
        <w:rPr>
          <w:rFonts w:asciiTheme="majorBidi" w:hAnsiTheme="majorBidi" w:cstheme="majorBidi"/>
          <w:sz w:val="22"/>
          <w:szCs w:val="22"/>
        </w:rPr>
      </w:pPr>
      <w:r w:rsidRPr="005B3444">
        <w:rPr>
          <w:rFonts w:asciiTheme="majorBidi" w:hAnsiTheme="majorBidi" w:cstheme="majorBidi"/>
          <w:sz w:val="22"/>
          <w:szCs w:val="22"/>
        </w:rPr>
        <w:t>“Settler Colonialism and Israel” (M.A. level, BZU)</w:t>
      </w:r>
    </w:p>
    <w:p w14:paraId="5ED49CE0" w14:textId="77777777" w:rsidR="007A76F1" w:rsidRPr="005B3444" w:rsidRDefault="007A76F1" w:rsidP="0067130F">
      <w:pPr>
        <w:pStyle w:val="ListParagraph"/>
        <w:numPr>
          <w:ilvl w:val="0"/>
          <w:numId w:val="7"/>
        </w:numPr>
        <w:rPr>
          <w:rFonts w:asciiTheme="majorBidi" w:hAnsiTheme="majorBidi" w:cstheme="majorBidi"/>
        </w:rPr>
      </w:pPr>
      <w:r w:rsidRPr="005B3444">
        <w:rPr>
          <w:rFonts w:asciiTheme="majorBidi" w:hAnsiTheme="majorBidi" w:cstheme="majorBidi"/>
          <w:sz w:val="22"/>
          <w:szCs w:val="22"/>
        </w:rPr>
        <w:t>“The Arab City” (M.A. level, BZU)</w:t>
      </w:r>
    </w:p>
    <w:p w14:paraId="1D932F91" w14:textId="77777777" w:rsidR="007A76F1" w:rsidRPr="005B3444" w:rsidRDefault="007A76F1" w:rsidP="0067130F">
      <w:pPr>
        <w:pStyle w:val="ListParagraph"/>
        <w:numPr>
          <w:ilvl w:val="0"/>
          <w:numId w:val="7"/>
        </w:numPr>
        <w:rPr>
          <w:rFonts w:asciiTheme="majorBidi" w:hAnsiTheme="majorBidi" w:cstheme="majorBidi"/>
          <w:sz w:val="22"/>
          <w:szCs w:val="22"/>
        </w:rPr>
      </w:pPr>
      <w:r w:rsidRPr="005B3444">
        <w:rPr>
          <w:rFonts w:asciiTheme="majorBidi" w:hAnsiTheme="majorBidi" w:cstheme="majorBidi"/>
          <w:sz w:val="22"/>
          <w:szCs w:val="22"/>
        </w:rPr>
        <w:t>“Arab Modernity” (M.A. level, BZU)</w:t>
      </w:r>
    </w:p>
    <w:p w14:paraId="3294A09F" w14:textId="77777777" w:rsidR="007A76F1" w:rsidRPr="005B3444" w:rsidRDefault="007A76F1" w:rsidP="0067130F">
      <w:pPr>
        <w:pStyle w:val="ListParagraph"/>
        <w:numPr>
          <w:ilvl w:val="0"/>
          <w:numId w:val="7"/>
        </w:numPr>
        <w:rPr>
          <w:rFonts w:asciiTheme="majorBidi" w:hAnsiTheme="majorBidi" w:cstheme="majorBidi"/>
          <w:sz w:val="22"/>
          <w:szCs w:val="22"/>
        </w:rPr>
      </w:pPr>
      <w:r w:rsidRPr="005B3444">
        <w:rPr>
          <w:rFonts w:asciiTheme="majorBidi" w:hAnsiTheme="majorBidi" w:cstheme="majorBidi"/>
          <w:sz w:val="22"/>
          <w:szCs w:val="22"/>
        </w:rPr>
        <w:t>“Populism in theory and practice in the Arab World” (M.A. level, BZU)</w:t>
      </w:r>
    </w:p>
    <w:p w14:paraId="0AE2D087" w14:textId="77777777" w:rsidR="007A76F1" w:rsidRPr="005B3444" w:rsidRDefault="007A76F1" w:rsidP="0067130F">
      <w:pPr>
        <w:pStyle w:val="ListParagraph"/>
        <w:numPr>
          <w:ilvl w:val="0"/>
          <w:numId w:val="7"/>
        </w:numPr>
        <w:rPr>
          <w:rFonts w:asciiTheme="majorBidi" w:hAnsiTheme="majorBidi" w:cstheme="majorBidi"/>
          <w:sz w:val="22"/>
          <w:szCs w:val="22"/>
        </w:rPr>
      </w:pPr>
      <w:r w:rsidRPr="005B3444">
        <w:rPr>
          <w:rFonts w:asciiTheme="majorBidi" w:hAnsiTheme="majorBidi" w:cstheme="majorBidi"/>
          <w:sz w:val="22"/>
          <w:szCs w:val="22"/>
        </w:rPr>
        <w:t>“Diversity, Citizenship, and Integration in the Arab World” (M.A. level, BZU)</w:t>
      </w:r>
    </w:p>
    <w:p w14:paraId="3A667993" w14:textId="77777777" w:rsidR="007A76F1" w:rsidRPr="005B3444" w:rsidRDefault="007A76F1" w:rsidP="0067130F">
      <w:pPr>
        <w:pStyle w:val="ListParagraph"/>
        <w:numPr>
          <w:ilvl w:val="0"/>
          <w:numId w:val="7"/>
        </w:numPr>
        <w:rPr>
          <w:rFonts w:asciiTheme="majorBidi" w:hAnsiTheme="majorBidi" w:cstheme="majorBidi"/>
          <w:sz w:val="22"/>
          <w:szCs w:val="22"/>
        </w:rPr>
      </w:pPr>
      <w:r w:rsidRPr="005B3444">
        <w:rPr>
          <w:rFonts w:asciiTheme="majorBidi" w:hAnsiTheme="majorBidi" w:cstheme="majorBidi"/>
          <w:sz w:val="22"/>
          <w:szCs w:val="22"/>
        </w:rPr>
        <w:t xml:space="preserve">“What is </w:t>
      </w:r>
      <w:r w:rsidRPr="005B3444">
        <w:rPr>
          <w:rFonts w:asciiTheme="majorBidi" w:hAnsiTheme="majorBidi" w:cstheme="majorBidi"/>
          <w:i/>
          <w:iCs/>
          <w:sz w:val="22"/>
          <w:szCs w:val="22"/>
        </w:rPr>
        <w:t>Nahda</w:t>
      </w:r>
      <w:r w:rsidRPr="005B3444">
        <w:rPr>
          <w:rFonts w:asciiTheme="majorBidi" w:hAnsiTheme="majorBidi" w:cstheme="majorBidi"/>
          <w:sz w:val="22"/>
          <w:szCs w:val="22"/>
        </w:rPr>
        <w:t>? Arab Thought in the Age of Empires, 1800-1945” (M.A. level, BZU)</w:t>
      </w:r>
    </w:p>
    <w:p w14:paraId="0852CE87" w14:textId="77777777" w:rsidR="007A76F1" w:rsidRPr="005B3444" w:rsidRDefault="007A76F1" w:rsidP="0067130F">
      <w:pPr>
        <w:pStyle w:val="ListParagraph"/>
        <w:numPr>
          <w:ilvl w:val="0"/>
          <w:numId w:val="7"/>
        </w:numPr>
        <w:rPr>
          <w:rFonts w:asciiTheme="majorBidi" w:hAnsiTheme="majorBidi" w:cstheme="majorBidi"/>
        </w:rPr>
      </w:pPr>
      <w:r w:rsidRPr="005B3444">
        <w:rPr>
          <w:rFonts w:asciiTheme="majorBidi" w:hAnsiTheme="majorBidi" w:cstheme="majorBidi"/>
          <w:sz w:val="22"/>
          <w:szCs w:val="22"/>
        </w:rPr>
        <w:t>“Postcolonial Arab Thought, 1945-present” (M.A. level, BZU)</w:t>
      </w:r>
    </w:p>
    <w:p w14:paraId="6BC9C783" w14:textId="77777777" w:rsidR="007A76F1" w:rsidRPr="005B3444" w:rsidRDefault="007A76F1" w:rsidP="0067130F">
      <w:pPr>
        <w:pStyle w:val="ListParagraph"/>
        <w:numPr>
          <w:ilvl w:val="0"/>
          <w:numId w:val="7"/>
        </w:numPr>
        <w:rPr>
          <w:rFonts w:asciiTheme="majorBidi" w:hAnsiTheme="majorBidi" w:cstheme="majorBidi"/>
          <w:sz w:val="22"/>
          <w:szCs w:val="22"/>
        </w:rPr>
      </w:pPr>
      <w:r w:rsidRPr="005B3444">
        <w:rPr>
          <w:rFonts w:asciiTheme="majorBidi" w:hAnsiTheme="majorBidi" w:cstheme="majorBidi"/>
          <w:sz w:val="22"/>
          <w:szCs w:val="22"/>
        </w:rPr>
        <w:t xml:space="preserve">“Modern and Contemporary European Civilization” (Undergraduate university requirement, BZU) </w:t>
      </w:r>
    </w:p>
    <w:p w14:paraId="36F7EED1" w14:textId="77777777" w:rsidR="007A76F1" w:rsidRPr="005B3444" w:rsidRDefault="007A76F1" w:rsidP="0067130F">
      <w:pPr>
        <w:pStyle w:val="ListParagraph"/>
        <w:numPr>
          <w:ilvl w:val="0"/>
          <w:numId w:val="7"/>
        </w:numPr>
        <w:rPr>
          <w:rFonts w:asciiTheme="majorBidi" w:hAnsiTheme="majorBidi" w:cstheme="majorBidi"/>
          <w:sz w:val="22"/>
          <w:szCs w:val="22"/>
        </w:rPr>
      </w:pPr>
      <w:r w:rsidRPr="005B3444">
        <w:rPr>
          <w:rFonts w:asciiTheme="majorBidi" w:hAnsiTheme="majorBidi" w:cstheme="majorBidi"/>
          <w:sz w:val="22"/>
          <w:szCs w:val="22"/>
        </w:rPr>
        <w:t xml:space="preserve">“Modern and Contemporary Arab Thought” (Undergraduate university requirement, BZU) </w:t>
      </w:r>
    </w:p>
    <w:p w14:paraId="60919613" w14:textId="77777777" w:rsidR="007A76F1" w:rsidRPr="005B3444" w:rsidRDefault="007A76F1" w:rsidP="0067130F">
      <w:pPr>
        <w:pStyle w:val="ListParagraph"/>
        <w:numPr>
          <w:ilvl w:val="0"/>
          <w:numId w:val="7"/>
        </w:numPr>
        <w:rPr>
          <w:rFonts w:asciiTheme="majorBidi" w:hAnsiTheme="majorBidi" w:cstheme="majorBidi"/>
          <w:sz w:val="22"/>
          <w:szCs w:val="22"/>
        </w:rPr>
      </w:pPr>
      <w:r w:rsidRPr="005B3444">
        <w:rPr>
          <w:rFonts w:asciiTheme="majorBidi" w:hAnsiTheme="majorBidi" w:cstheme="majorBidi"/>
          <w:sz w:val="22"/>
          <w:szCs w:val="22"/>
        </w:rPr>
        <w:t>“Islamic History and Society” (Introductory-level undergraduate course, Skidmore College)</w:t>
      </w:r>
    </w:p>
    <w:p w14:paraId="4C37420D" w14:textId="77777777" w:rsidR="007A76F1" w:rsidRPr="005B3444" w:rsidRDefault="007A76F1" w:rsidP="0067130F">
      <w:pPr>
        <w:pStyle w:val="ListParagraph"/>
        <w:numPr>
          <w:ilvl w:val="0"/>
          <w:numId w:val="7"/>
        </w:numPr>
        <w:rPr>
          <w:rFonts w:asciiTheme="majorBidi" w:hAnsiTheme="majorBidi" w:cstheme="majorBidi"/>
          <w:sz w:val="22"/>
          <w:szCs w:val="22"/>
        </w:rPr>
      </w:pPr>
      <w:r w:rsidRPr="005B3444">
        <w:rPr>
          <w:rFonts w:asciiTheme="majorBidi" w:hAnsiTheme="majorBidi" w:cstheme="majorBidi"/>
          <w:sz w:val="22"/>
          <w:szCs w:val="22"/>
        </w:rPr>
        <w:t xml:space="preserve">“The Modern Middle East since 1800” (Middle-level undergraduate course, Skidmore College) </w:t>
      </w:r>
    </w:p>
    <w:p w14:paraId="50EAF74A" w14:textId="3003BF69" w:rsidR="00814902" w:rsidRPr="005B3444" w:rsidRDefault="007A76F1" w:rsidP="0067130F">
      <w:pPr>
        <w:pStyle w:val="ListParagraph"/>
        <w:numPr>
          <w:ilvl w:val="0"/>
          <w:numId w:val="7"/>
        </w:numPr>
        <w:rPr>
          <w:rFonts w:asciiTheme="majorBidi" w:hAnsiTheme="majorBidi" w:cstheme="majorBidi"/>
          <w:sz w:val="22"/>
          <w:szCs w:val="22"/>
        </w:rPr>
      </w:pPr>
      <w:r w:rsidRPr="005B3444">
        <w:rPr>
          <w:rFonts w:asciiTheme="majorBidi" w:hAnsiTheme="majorBidi" w:cstheme="majorBidi"/>
          <w:sz w:val="22"/>
          <w:szCs w:val="22"/>
        </w:rPr>
        <w:t xml:space="preserve">“Culture, Politics, &amp; History of the Islamic World” (Upper-level course, Skidmore College) </w:t>
      </w:r>
    </w:p>
    <w:p w14:paraId="7D6E5AC3" w14:textId="77777777" w:rsidR="007720B6" w:rsidRDefault="007720B6" w:rsidP="0067130F">
      <w:pPr>
        <w:rPr>
          <w:rFonts w:asciiTheme="majorBidi" w:hAnsiTheme="majorBidi" w:cstheme="majorBidi"/>
          <w:b/>
          <w:bCs/>
          <w:color w:val="FFFFFF" w:themeColor="background1"/>
          <w:sz w:val="22"/>
          <w:szCs w:val="22"/>
          <w:highlight w:val="black"/>
        </w:rPr>
      </w:pPr>
    </w:p>
    <w:p w14:paraId="591DB6DA" w14:textId="0C9A4B63" w:rsidR="005B3444" w:rsidRPr="00624D64" w:rsidRDefault="00F03BF1" w:rsidP="00624D64">
      <w:pPr>
        <w:rPr>
          <w:rFonts w:asciiTheme="majorBidi" w:hAnsiTheme="majorBidi" w:cstheme="majorBidi"/>
          <w:b/>
          <w:bCs/>
          <w:color w:val="FFFFFF" w:themeColor="background1"/>
          <w:sz w:val="22"/>
          <w:szCs w:val="22"/>
          <w:highlight w:val="black"/>
        </w:rPr>
      </w:pPr>
      <w:r w:rsidRPr="00A1260E">
        <w:rPr>
          <w:rFonts w:asciiTheme="majorBidi" w:hAnsiTheme="majorBidi" w:cstheme="majorBidi"/>
          <w:b/>
          <w:bCs/>
          <w:color w:val="FFFFFF" w:themeColor="background1"/>
          <w:sz w:val="22"/>
          <w:szCs w:val="22"/>
          <w:highlight w:val="black"/>
        </w:rPr>
        <w:t xml:space="preserve">SERVICE TO THE PORFESSIONAL COMMUNITY </w:t>
      </w:r>
    </w:p>
    <w:p w14:paraId="37B8F315" w14:textId="2799FA22" w:rsidR="00F03BF1" w:rsidRPr="005B3444" w:rsidRDefault="002F45E3" w:rsidP="0067130F">
      <w:pPr>
        <w:pStyle w:val="ListParagraph"/>
        <w:numPr>
          <w:ilvl w:val="0"/>
          <w:numId w:val="3"/>
        </w:numPr>
        <w:rPr>
          <w:rFonts w:asciiTheme="majorBidi" w:hAnsiTheme="majorBidi" w:cstheme="majorBidi"/>
        </w:rPr>
      </w:pPr>
      <w:r w:rsidRPr="005B3444">
        <w:rPr>
          <w:rFonts w:asciiTheme="majorBidi" w:hAnsiTheme="majorBidi" w:cstheme="majorBidi"/>
          <w:sz w:val="22"/>
          <w:szCs w:val="22"/>
        </w:rPr>
        <w:t>Peer-r</w:t>
      </w:r>
      <w:r w:rsidR="00F03BF1" w:rsidRPr="005B3444">
        <w:rPr>
          <w:rFonts w:asciiTheme="majorBidi" w:hAnsiTheme="majorBidi" w:cstheme="majorBidi"/>
          <w:sz w:val="22"/>
          <w:szCs w:val="22"/>
        </w:rPr>
        <w:t>eview</w:t>
      </w:r>
      <w:r w:rsidRPr="005B3444">
        <w:rPr>
          <w:rFonts w:asciiTheme="majorBidi" w:hAnsiTheme="majorBidi" w:cstheme="majorBidi"/>
          <w:sz w:val="22"/>
          <w:szCs w:val="22"/>
        </w:rPr>
        <w:t>s</w:t>
      </w:r>
      <w:r w:rsidR="00F03BF1" w:rsidRPr="005B3444">
        <w:rPr>
          <w:rFonts w:asciiTheme="majorBidi" w:hAnsiTheme="majorBidi" w:cstheme="majorBidi"/>
          <w:sz w:val="22"/>
          <w:szCs w:val="22"/>
        </w:rPr>
        <w:t xml:space="preserve"> for University of Stanford Press</w:t>
      </w:r>
      <w:r w:rsidRPr="005B3444">
        <w:rPr>
          <w:rFonts w:asciiTheme="majorBidi" w:hAnsiTheme="majorBidi" w:cstheme="majorBidi"/>
          <w:sz w:val="22"/>
          <w:szCs w:val="22"/>
        </w:rPr>
        <w:t>.</w:t>
      </w:r>
      <w:r w:rsidR="00F03BF1" w:rsidRPr="005B3444">
        <w:rPr>
          <w:rFonts w:asciiTheme="majorBidi" w:hAnsiTheme="majorBidi" w:cstheme="majorBidi"/>
          <w:sz w:val="22"/>
          <w:szCs w:val="22"/>
        </w:rPr>
        <w:t xml:space="preserve"> </w:t>
      </w:r>
    </w:p>
    <w:p w14:paraId="6674FD1A" w14:textId="603A8D1E" w:rsidR="006D2F10" w:rsidRPr="005B3444" w:rsidRDefault="002F45E3" w:rsidP="0067130F">
      <w:pPr>
        <w:pStyle w:val="ListParagraph"/>
        <w:numPr>
          <w:ilvl w:val="0"/>
          <w:numId w:val="3"/>
        </w:numPr>
        <w:rPr>
          <w:rFonts w:asciiTheme="majorBidi" w:hAnsiTheme="majorBidi" w:cstheme="majorBidi"/>
          <w:sz w:val="22"/>
          <w:szCs w:val="22"/>
        </w:rPr>
      </w:pPr>
      <w:r w:rsidRPr="005B3444">
        <w:rPr>
          <w:rFonts w:asciiTheme="majorBidi" w:hAnsiTheme="majorBidi" w:cstheme="majorBidi"/>
          <w:sz w:val="22"/>
          <w:szCs w:val="22"/>
        </w:rPr>
        <w:t>Peer-r</w:t>
      </w:r>
      <w:r w:rsidR="00F03BF1" w:rsidRPr="005B3444">
        <w:rPr>
          <w:rFonts w:asciiTheme="majorBidi" w:hAnsiTheme="majorBidi" w:cstheme="majorBidi"/>
          <w:sz w:val="22"/>
          <w:szCs w:val="22"/>
        </w:rPr>
        <w:t>eview</w:t>
      </w:r>
      <w:r w:rsidRPr="005B3444">
        <w:rPr>
          <w:rFonts w:asciiTheme="majorBidi" w:hAnsiTheme="majorBidi" w:cstheme="majorBidi"/>
          <w:sz w:val="22"/>
          <w:szCs w:val="22"/>
        </w:rPr>
        <w:t>s</w:t>
      </w:r>
      <w:r w:rsidR="00F03BF1" w:rsidRPr="005B3444">
        <w:rPr>
          <w:rFonts w:asciiTheme="majorBidi" w:hAnsiTheme="majorBidi" w:cstheme="majorBidi"/>
          <w:sz w:val="22"/>
          <w:szCs w:val="22"/>
        </w:rPr>
        <w:t xml:space="preserve"> for the Institute for Palestine Studies</w:t>
      </w:r>
      <w:r w:rsidR="006D2F10" w:rsidRPr="005B3444">
        <w:rPr>
          <w:rFonts w:asciiTheme="majorBidi" w:hAnsiTheme="majorBidi" w:cstheme="majorBidi"/>
          <w:sz w:val="22"/>
          <w:szCs w:val="22"/>
        </w:rPr>
        <w:t xml:space="preserve"> (books and journal articles)</w:t>
      </w:r>
    </w:p>
    <w:p w14:paraId="2B37F2D8" w14:textId="6C30FC66" w:rsidR="002F45E3" w:rsidRPr="005B3444" w:rsidRDefault="006D2F10" w:rsidP="0067130F">
      <w:pPr>
        <w:pStyle w:val="ListParagraph"/>
        <w:numPr>
          <w:ilvl w:val="0"/>
          <w:numId w:val="3"/>
        </w:numPr>
        <w:rPr>
          <w:rFonts w:asciiTheme="majorBidi" w:hAnsiTheme="majorBidi" w:cstheme="majorBidi"/>
          <w:sz w:val="22"/>
          <w:szCs w:val="22"/>
        </w:rPr>
      </w:pPr>
      <w:r w:rsidRPr="005B3444">
        <w:rPr>
          <w:rFonts w:asciiTheme="majorBidi" w:hAnsiTheme="majorBidi" w:cstheme="majorBidi"/>
          <w:sz w:val="22"/>
          <w:szCs w:val="22"/>
        </w:rPr>
        <w:t>Peer-reviews for</w:t>
      </w:r>
      <w:r w:rsidR="007B1BF4" w:rsidRPr="005B3444">
        <w:rPr>
          <w:rFonts w:asciiTheme="majorBidi" w:hAnsiTheme="majorBidi" w:cstheme="majorBidi"/>
          <w:sz w:val="22"/>
          <w:szCs w:val="22"/>
        </w:rPr>
        <w:t xml:space="preserve"> </w:t>
      </w:r>
      <w:r w:rsidR="007B1BF4" w:rsidRPr="005B3444">
        <w:rPr>
          <w:rFonts w:asciiTheme="majorBidi" w:hAnsiTheme="majorBidi" w:cstheme="majorBidi"/>
          <w:i/>
          <w:iCs/>
          <w:sz w:val="22"/>
          <w:szCs w:val="22"/>
        </w:rPr>
        <w:t>O</w:t>
      </w:r>
      <w:r w:rsidRPr="005B3444">
        <w:rPr>
          <w:rFonts w:asciiTheme="majorBidi" w:hAnsiTheme="majorBidi" w:cstheme="majorBidi"/>
          <w:i/>
          <w:iCs/>
          <w:sz w:val="22"/>
          <w:szCs w:val="22"/>
        </w:rPr>
        <w:t>stour</w:t>
      </w:r>
      <w:r w:rsidRPr="005B3444">
        <w:rPr>
          <w:rFonts w:asciiTheme="majorBidi" w:hAnsiTheme="majorBidi" w:cstheme="majorBidi"/>
          <w:sz w:val="22"/>
          <w:szCs w:val="22"/>
        </w:rPr>
        <w:t xml:space="preserve"> and </w:t>
      </w:r>
      <w:r w:rsidR="007B1BF4" w:rsidRPr="005B3444">
        <w:rPr>
          <w:rFonts w:asciiTheme="majorBidi" w:hAnsiTheme="majorBidi" w:cstheme="majorBidi"/>
          <w:i/>
          <w:iCs/>
          <w:sz w:val="22"/>
          <w:szCs w:val="22"/>
        </w:rPr>
        <w:t>U</w:t>
      </w:r>
      <w:r w:rsidRPr="005B3444">
        <w:rPr>
          <w:rFonts w:asciiTheme="majorBidi" w:hAnsiTheme="majorBidi" w:cstheme="majorBidi"/>
          <w:i/>
          <w:iCs/>
          <w:sz w:val="22"/>
          <w:szCs w:val="22"/>
        </w:rPr>
        <w:t>mran</w:t>
      </w:r>
      <w:r w:rsidRPr="005B3444">
        <w:rPr>
          <w:rFonts w:asciiTheme="majorBidi" w:hAnsiTheme="majorBidi" w:cstheme="majorBidi"/>
          <w:sz w:val="22"/>
          <w:szCs w:val="22"/>
        </w:rPr>
        <w:t xml:space="preserve">, journals </w:t>
      </w:r>
      <w:r w:rsidR="002F45E3" w:rsidRPr="005B3444">
        <w:rPr>
          <w:rFonts w:asciiTheme="majorBidi" w:hAnsiTheme="majorBidi" w:cstheme="majorBidi"/>
          <w:sz w:val="22"/>
          <w:szCs w:val="22"/>
        </w:rPr>
        <w:t>published by the Arab Center for Research and Policy Studies, Doha.</w:t>
      </w:r>
    </w:p>
    <w:p w14:paraId="16A0664E" w14:textId="3686303E" w:rsidR="002F45E3" w:rsidRPr="005B3444" w:rsidRDefault="002F45E3" w:rsidP="0067130F">
      <w:pPr>
        <w:pStyle w:val="ListParagraph"/>
        <w:numPr>
          <w:ilvl w:val="0"/>
          <w:numId w:val="3"/>
        </w:numPr>
        <w:rPr>
          <w:rFonts w:asciiTheme="majorBidi" w:hAnsiTheme="majorBidi" w:cstheme="majorBidi"/>
          <w:sz w:val="22"/>
          <w:szCs w:val="22"/>
          <w:lang w:val="en-US"/>
        </w:rPr>
      </w:pPr>
      <w:r w:rsidRPr="005B3444">
        <w:rPr>
          <w:rFonts w:asciiTheme="majorBidi" w:hAnsiTheme="majorBidi" w:cstheme="majorBidi"/>
          <w:sz w:val="22"/>
          <w:szCs w:val="22"/>
        </w:rPr>
        <w:t xml:space="preserve">Peer-reviews for </w:t>
      </w:r>
      <w:r w:rsidR="006D2F10" w:rsidRPr="005B3444">
        <w:rPr>
          <w:rFonts w:asciiTheme="majorBidi" w:hAnsiTheme="majorBidi" w:cstheme="majorBidi"/>
          <w:sz w:val="22"/>
          <w:szCs w:val="22"/>
        </w:rPr>
        <w:t xml:space="preserve">the Cambridge journal, </w:t>
      </w:r>
      <w:r w:rsidR="006D2F10" w:rsidRPr="005B3444">
        <w:rPr>
          <w:rFonts w:asciiTheme="majorBidi" w:hAnsiTheme="majorBidi" w:cstheme="majorBidi"/>
          <w:i/>
          <w:iCs/>
          <w:sz w:val="22"/>
          <w:szCs w:val="22"/>
        </w:rPr>
        <w:t>Rural History: Economy, Society and Culture</w:t>
      </w:r>
      <w:r w:rsidR="007720B6" w:rsidRPr="005B3444">
        <w:rPr>
          <w:rFonts w:asciiTheme="majorBidi" w:hAnsiTheme="majorBidi" w:cstheme="majorBidi"/>
          <w:i/>
          <w:iCs/>
          <w:sz w:val="22"/>
          <w:szCs w:val="22"/>
          <w:lang w:val="en-US"/>
        </w:rPr>
        <w:t>.</w:t>
      </w:r>
    </w:p>
    <w:p w14:paraId="164D24D1" w14:textId="6FD5746E" w:rsidR="002F45E3" w:rsidRPr="005B3444" w:rsidRDefault="006D2F10" w:rsidP="0067130F">
      <w:pPr>
        <w:pStyle w:val="ListParagraph"/>
        <w:numPr>
          <w:ilvl w:val="0"/>
          <w:numId w:val="3"/>
        </w:numPr>
        <w:rPr>
          <w:rFonts w:asciiTheme="majorBidi" w:hAnsiTheme="majorBidi" w:cstheme="majorBidi"/>
          <w:i/>
          <w:iCs/>
          <w:sz w:val="22"/>
          <w:szCs w:val="22"/>
        </w:rPr>
      </w:pPr>
      <w:r w:rsidRPr="005B3444">
        <w:rPr>
          <w:rFonts w:asciiTheme="majorBidi" w:hAnsiTheme="majorBidi" w:cstheme="majorBidi"/>
          <w:sz w:val="22"/>
          <w:szCs w:val="22"/>
        </w:rPr>
        <w:t xml:space="preserve">Peer-reviews for </w:t>
      </w:r>
      <w:r w:rsidRPr="005B3444">
        <w:rPr>
          <w:rFonts w:asciiTheme="majorBidi" w:hAnsiTheme="majorBidi" w:cstheme="majorBidi"/>
          <w:i/>
          <w:iCs/>
          <w:sz w:val="22"/>
          <w:szCs w:val="22"/>
        </w:rPr>
        <w:t>Arab Studies Journal.</w:t>
      </w:r>
    </w:p>
    <w:p w14:paraId="5947E76D" w14:textId="77777777" w:rsidR="007720B6" w:rsidRDefault="007720B6" w:rsidP="0067130F">
      <w:pPr>
        <w:rPr>
          <w:rFonts w:asciiTheme="majorBidi" w:hAnsiTheme="majorBidi" w:cstheme="majorBidi"/>
          <w:b/>
          <w:bCs/>
          <w:color w:val="FFFFFF" w:themeColor="background1"/>
          <w:sz w:val="22"/>
          <w:szCs w:val="22"/>
          <w:highlight w:val="black"/>
        </w:rPr>
      </w:pPr>
    </w:p>
    <w:p w14:paraId="311EB639" w14:textId="0D9CF3F6" w:rsidR="00F03BF1" w:rsidRPr="00A1260E" w:rsidRDefault="00F03BF1" w:rsidP="0067130F">
      <w:pPr>
        <w:rPr>
          <w:rFonts w:asciiTheme="majorBidi" w:hAnsiTheme="majorBidi" w:cstheme="majorBidi"/>
          <w:b/>
          <w:bCs/>
          <w:color w:val="FFFFFF" w:themeColor="background1"/>
          <w:sz w:val="22"/>
          <w:szCs w:val="22"/>
          <w:highlight w:val="black"/>
        </w:rPr>
      </w:pPr>
      <w:r w:rsidRPr="00A1260E">
        <w:rPr>
          <w:rFonts w:asciiTheme="majorBidi" w:hAnsiTheme="majorBidi" w:cstheme="majorBidi"/>
          <w:b/>
          <w:bCs/>
          <w:color w:val="FFFFFF" w:themeColor="background1"/>
          <w:sz w:val="22"/>
          <w:szCs w:val="22"/>
          <w:highlight w:val="black"/>
        </w:rPr>
        <w:t xml:space="preserve">PUBLISHING EXPERIENCE </w:t>
      </w:r>
    </w:p>
    <w:p w14:paraId="02417224" w14:textId="3BA80A89" w:rsidR="00F03BF1" w:rsidRPr="005B3444" w:rsidRDefault="00F03BF1" w:rsidP="0067130F">
      <w:pPr>
        <w:pStyle w:val="ListParagraph"/>
        <w:numPr>
          <w:ilvl w:val="0"/>
          <w:numId w:val="4"/>
        </w:numPr>
        <w:rPr>
          <w:rFonts w:asciiTheme="majorBidi" w:hAnsiTheme="majorBidi" w:cstheme="majorBidi"/>
        </w:rPr>
      </w:pPr>
      <w:r w:rsidRPr="005B3444">
        <w:rPr>
          <w:rFonts w:asciiTheme="majorBidi" w:hAnsiTheme="majorBidi" w:cstheme="majorBidi"/>
          <w:i/>
          <w:iCs/>
          <w:sz w:val="22"/>
          <w:szCs w:val="22"/>
        </w:rPr>
        <w:t xml:space="preserve">Hawliyat Al-Quds, </w:t>
      </w:r>
      <w:r w:rsidRPr="005B3444">
        <w:rPr>
          <w:rFonts w:asciiTheme="majorBidi" w:hAnsiTheme="majorBidi" w:cstheme="majorBidi"/>
          <w:sz w:val="22"/>
          <w:szCs w:val="22"/>
        </w:rPr>
        <w:t>Member of the Editorial Committee, 2013. A quarterly issued by the Institute of Jerusalem Studies.</w:t>
      </w:r>
    </w:p>
    <w:p w14:paraId="44DCD2BE" w14:textId="4C787C27" w:rsidR="00F53DC8" w:rsidRPr="005B3444" w:rsidRDefault="00F03BF1" w:rsidP="0067130F">
      <w:pPr>
        <w:pStyle w:val="ListParagraph"/>
        <w:numPr>
          <w:ilvl w:val="0"/>
          <w:numId w:val="4"/>
        </w:numPr>
        <w:rPr>
          <w:rFonts w:asciiTheme="majorBidi" w:hAnsiTheme="majorBidi" w:cstheme="majorBidi"/>
          <w:sz w:val="22"/>
          <w:szCs w:val="22"/>
        </w:rPr>
      </w:pPr>
      <w:r w:rsidRPr="005B3444">
        <w:rPr>
          <w:rFonts w:asciiTheme="majorBidi" w:hAnsiTheme="majorBidi" w:cstheme="majorBidi"/>
          <w:i/>
          <w:iCs/>
          <w:sz w:val="22"/>
          <w:szCs w:val="22"/>
        </w:rPr>
        <w:t xml:space="preserve">Arab Studies Journal, </w:t>
      </w:r>
      <w:r w:rsidRPr="005B3444">
        <w:rPr>
          <w:rFonts w:asciiTheme="majorBidi" w:hAnsiTheme="majorBidi" w:cstheme="majorBidi"/>
          <w:sz w:val="22"/>
          <w:szCs w:val="22"/>
        </w:rPr>
        <w:t>book review editor 2002-2006.</w:t>
      </w:r>
    </w:p>
    <w:p w14:paraId="2FB41DEC" w14:textId="77777777" w:rsidR="002729A8" w:rsidRPr="00A1260E" w:rsidRDefault="002729A8" w:rsidP="0067130F">
      <w:pPr>
        <w:rPr>
          <w:rFonts w:asciiTheme="majorBidi" w:hAnsiTheme="majorBidi" w:cstheme="majorBidi"/>
          <w:sz w:val="22"/>
          <w:szCs w:val="22"/>
        </w:rPr>
      </w:pPr>
    </w:p>
    <w:p w14:paraId="6C110F7E" w14:textId="164ABD47" w:rsidR="005B3444" w:rsidRPr="00624D64" w:rsidRDefault="00F53DC8" w:rsidP="00624D64">
      <w:pPr>
        <w:rPr>
          <w:rFonts w:asciiTheme="majorBidi" w:hAnsiTheme="majorBidi" w:cstheme="majorBidi"/>
          <w:b/>
          <w:bCs/>
          <w:color w:val="FFFFFF" w:themeColor="background1"/>
          <w:sz w:val="22"/>
          <w:szCs w:val="22"/>
          <w:highlight w:val="black"/>
          <w:lang w:val="en-US"/>
        </w:rPr>
      </w:pPr>
      <w:r w:rsidRPr="00A1260E">
        <w:rPr>
          <w:rFonts w:asciiTheme="majorBidi" w:hAnsiTheme="majorBidi" w:cstheme="majorBidi"/>
          <w:b/>
          <w:bCs/>
          <w:color w:val="FFFFFF" w:themeColor="background1"/>
          <w:sz w:val="22"/>
          <w:szCs w:val="22"/>
          <w:highlight w:val="black"/>
        </w:rPr>
        <w:t xml:space="preserve">COMMUNITY </w:t>
      </w:r>
      <w:r w:rsidR="005B3444">
        <w:rPr>
          <w:rFonts w:asciiTheme="majorBidi" w:hAnsiTheme="majorBidi" w:cstheme="majorBidi"/>
          <w:b/>
          <w:bCs/>
          <w:color w:val="FFFFFF" w:themeColor="background1"/>
          <w:sz w:val="22"/>
          <w:szCs w:val="22"/>
          <w:highlight w:val="black"/>
          <w:lang w:val="en-US"/>
        </w:rPr>
        <w:t>WORK</w:t>
      </w:r>
    </w:p>
    <w:p w14:paraId="62B0717B" w14:textId="4637F725" w:rsidR="00F03BF1" w:rsidRPr="00A1260E" w:rsidRDefault="00F03BF1" w:rsidP="0067130F">
      <w:pPr>
        <w:rPr>
          <w:rFonts w:asciiTheme="majorBidi" w:hAnsiTheme="majorBidi" w:cstheme="majorBidi"/>
        </w:rPr>
      </w:pPr>
      <w:r w:rsidRPr="00A1260E">
        <w:rPr>
          <w:rFonts w:asciiTheme="majorBidi" w:hAnsiTheme="majorBidi" w:cstheme="majorBidi"/>
          <w:b/>
          <w:bCs/>
          <w:sz w:val="22"/>
          <w:szCs w:val="22"/>
        </w:rPr>
        <w:t xml:space="preserve">Al-Haq </w:t>
      </w:r>
      <w:r w:rsidRPr="00A1260E">
        <w:rPr>
          <w:rFonts w:asciiTheme="majorBidi" w:hAnsiTheme="majorBidi" w:cstheme="majorBidi"/>
          <w:sz w:val="22"/>
          <w:szCs w:val="22"/>
        </w:rPr>
        <w:t xml:space="preserve">– Palestine. Member of the General Assembly (2012-present). </w:t>
      </w:r>
    </w:p>
    <w:p w14:paraId="5437660C" w14:textId="77777777" w:rsidR="005B3444" w:rsidRDefault="005B3444" w:rsidP="0067130F">
      <w:pPr>
        <w:rPr>
          <w:rFonts w:asciiTheme="majorBidi" w:hAnsiTheme="majorBidi" w:cstheme="majorBidi"/>
          <w:b/>
          <w:bCs/>
          <w:sz w:val="22"/>
          <w:szCs w:val="22"/>
        </w:rPr>
      </w:pPr>
    </w:p>
    <w:p w14:paraId="25FE608A" w14:textId="658C58CC" w:rsidR="00F03BF1" w:rsidRPr="00A1260E" w:rsidRDefault="00F03BF1" w:rsidP="0067130F">
      <w:pPr>
        <w:rPr>
          <w:rFonts w:asciiTheme="majorBidi" w:hAnsiTheme="majorBidi" w:cstheme="majorBidi"/>
          <w:sz w:val="22"/>
          <w:szCs w:val="22"/>
        </w:rPr>
      </w:pPr>
      <w:r w:rsidRPr="00A1260E">
        <w:rPr>
          <w:rFonts w:asciiTheme="majorBidi" w:hAnsiTheme="majorBidi" w:cstheme="majorBidi"/>
          <w:b/>
          <w:bCs/>
          <w:sz w:val="22"/>
          <w:szCs w:val="22"/>
        </w:rPr>
        <w:t xml:space="preserve">Al-Marsad – Arab Center for Human Rights </w:t>
      </w:r>
      <w:r w:rsidRPr="00A1260E">
        <w:rPr>
          <w:rFonts w:asciiTheme="majorBidi" w:hAnsiTheme="majorBidi" w:cstheme="majorBidi"/>
          <w:sz w:val="22"/>
          <w:szCs w:val="22"/>
        </w:rPr>
        <w:t>in Occupied Golan Heights (2003-</w:t>
      </w:r>
      <w:r w:rsidR="00F377EF" w:rsidRPr="00A1260E">
        <w:rPr>
          <w:rFonts w:asciiTheme="majorBidi" w:hAnsiTheme="majorBidi" w:cstheme="majorBidi"/>
          <w:sz w:val="22"/>
          <w:szCs w:val="22"/>
        </w:rPr>
        <w:t>2020</w:t>
      </w:r>
      <w:r w:rsidRPr="00A1260E">
        <w:rPr>
          <w:rFonts w:asciiTheme="majorBidi" w:hAnsiTheme="majorBidi" w:cstheme="majorBidi"/>
          <w:sz w:val="22"/>
          <w:szCs w:val="22"/>
        </w:rPr>
        <w:t xml:space="preserve">). Co-founder, Board Member. </w:t>
      </w:r>
    </w:p>
    <w:p w14:paraId="3B1D029B" w14:textId="77777777" w:rsidR="005B3444" w:rsidRDefault="005B3444" w:rsidP="0067130F">
      <w:pPr>
        <w:rPr>
          <w:rFonts w:asciiTheme="majorBidi" w:hAnsiTheme="majorBidi" w:cstheme="majorBidi"/>
          <w:b/>
          <w:bCs/>
        </w:rPr>
      </w:pPr>
    </w:p>
    <w:p w14:paraId="5918494B" w14:textId="2825A2FF" w:rsidR="006D2F10" w:rsidRPr="00624D64" w:rsidRDefault="006D2F10" w:rsidP="0067130F">
      <w:pPr>
        <w:rPr>
          <w:rFonts w:asciiTheme="majorBidi" w:hAnsiTheme="majorBidi" w:cstheme="majorBidi"/>
          <w:sz w:val="22"/>
          <w:szCs w:val="22"/>
        </w:rPr>
      </w:pPr>
      <w:r w:rsidRPr="00624D64">
        <w:rPr>
          <w:rFonts w:asciiTheme="majorBidi" w:hAnsiTheme="majorBidi" w:cstheme="majorBidi"/>
          <w:b/>
          <w:bCs/>
          <w:sz w:val="22"/>
          <w:szCs w:val="22"/>
        </w:rPr>
        <w:t xml:space="preserve">Ramallah </w:t>
      </w:r>
      <w:r w:rsidR="008A29BA" w:rsidRPr="00624D64">
        <w:rPr>
          <w:rFonts w:asciiTheme="majorBidi" w:hAnsiTheme="majorBidi" w:cstheme="majorBidi"/>
          <w:b/>
          <w:bCs/>
          <w:sz w:val="22"/>
          <w:szCs w:val="22"/>
        </w:rPr>
        <w:t>Municipality</w:t>
      </w:r>
      <w:r w:rsidR="00624D64">
        <w:rPr>
          <w:rFonts w:asciiTheme="majorBidi" w:hAnsiTheme="majorBidi" w:cstheme="majorBidi"/>
          <w:b/>
          <w:bCs/>
          <w:sz w:val="22"/>
          <w:szCs w:val="22"/>
          <w:lang w:val="en-US"/>
        </w:rPr>
        <w:t xml:space="preserve">. </w:t>
      </w:r>
      <w:r w:rsidR="00624D64">
        <w:rPr>
          <w:rFonts w:asciiTheme="majorBidi" w:hAnsiTheme="majorBidi" w:cstheme="majorBidi"/>
          <w:sz w:val="22"/>
          <w:szCs w:val="22"/>
          <w:lang w:val="en-US"/>
        </w:rPr>
        <w:t>V</w:t>
      </w:r>
      <w:r w:rsidRPr="00624D64">
        <w:rPr>
          <w:rFonts w:asciiTheme="majorBidi" w:hAnsiTheme="majorBidi" w:cstheme="majorBidi"/>
          <w:sz w:val="22"/>
          <w:szCs w:val="22"/>
        </w:rPr>
        <w:t>olunteer advisor o</w:t>
      </w:r>
      <w:r w:rsidR="008A29BA" w:rsidRPr="00624D64">
        <w:rPr>
          <w:rFonts w:asciiTheme="majorBidi" w:hAnsiTheme="majorBidi" w:cstheme="majorBidi"/>
          <w:sz w:val="22"/>
          <w:szCs w:val="22"/>
        </w:rPr>
        <w:t>n digitizing historical archival material (current)</w:t>
      </w:r>
    </w:p>
    <w:p w14:paraId="32D8ADC4" w14:textId="77777777" w:rsidR="002729A8" w:rsidRDefault="002729A8" w:rsidP="0067130F">
      <w:pPr>
        <w:rPr>
          <w:rFonts w:asciiTheme="majorBidi" w:hAnsiTheme="majorBidi" w:cstheme="majorBidi"/>
          <w:b/>
          <w:bCs/>
          <w:color w:val="FFFFFF" w:themeColor="background1"/>
          <w:sz w:val="22"/>
          <w:szCs w:val="22"/>
          <w:highlight w:val="black"/>
        </w:rPr>
      </w:pPr>
    </w:p>
    <w:p w14:paraId="7E9429EF" w14:textId="46EADD5D" w:rsidR="005B3444" w:rsidRPr="00624D64" w:rsidRDefault="007A443F" w:rsidP="00624D64">
      <w:pPr>
        <w:rPr>
          <w:rFonts w:asciiTheme="majorBidi" w:hAnsiTheme="majorBidi" w:cstheme="majorBidi"/>
          <w:b/>
          <w:bCs/>
          <w:color w:val="FFFFFF" w:themeColor="background1"/>
          <w:sz w:val="22"/>
          <w:szCs w:val="22"/>
          <w:highlight w:val="black"/>
        </w:rPr>
      </w:pPr>
      <w:r w:rsidRPr="00A1260E">
        <w:rPr>
          <w:rFonts w:asciiTheme="majorBidi" w:hAnsiTheme="majorBidi" w:cstheme="majorBidi"/>
          <w:b/>
          <w:bCs/>
          <w:color w:val="FFFFFF" w:themeColor="background1"/>
          <w:sz w:val="22"/>
          <w:szCs w:val="22"/>
          <w:highlight w:val="black"/>
        </w:rPr>
        <w:t xml:space="preserve">LANGUAGES </w:t>
      </w:r>
    </w:p>
    <w:p w14:paraId="7139A505" w14:textId="64828779" w:rsidR="007A443F" w:rsidRPr="005B3444" w:rsidRDefault="007A443F" w:rsidP="0067130F">
      <w:pPr>
        <w:pStyle w:val="ListParagraph"/>
        <w:numPr>
          <w:ilvl w:val="0"/>
          <w:numId w:val="5"/>
        </w:numPr>
        <w:rPr>
          <w:rFonts w:asciiTheme="majorBidi" w:hAnsiTheme="majorBidi" w:cstheme="majorBidi"/>
          <w:sz w:val="22"/>
          <w:szCs w:val="22"/>
        </w:rPr>
      </w:pPr>
      <w:r w:rsidRPr="005B3444">
        <w:rPr>
          <w:rFonts w:asciiTheme="majorBidi" w:hAnsiTheme="majorBidi" w:cstheme="majorBidi"/>
          <w:sz w:val="22"/>
          <w:szCs w:val="22"/>
        </w:rPr>
        <w:t>Arabic, excellent in all levels</w:t>
      </w:r>
    </w:p>
    <w:p w14:paraId="4B7CB657" w14:textId="77777777" w:rsidR="007A443F" w:rsidRPr="005B3444" w:rsidRDefault="007A443F" w:rsidP="0067130F">
      <w:pPr>
        <w:pStyle w:val="ListParagraph"/>
        <w:numPr>
          <w:ilvl w:val="0"/>
          <w:numId w:val="5"/>
        </w:numPr>
        <w:rPr>
          <w:rFonts w:asciiTheme="majorBidi" w:hAnsiTheme="majorBidi" w:cstheme="majorBidi"/>
          <w:sz w:val="22"/>
          <w:szCs w:val="22"/>
        </w:rPr>
      </w:pPr>
      <w:r w:rsidRPr="005B3444">
        <w:rPr>
          <w:rFonts w:asciiTheme="majorBidi" w:hAnsiTheme="majorBidi" w:cstheme="majorBidi"/>
          <w:sz w:val="22"/>
          <w:szCs w:val="22"/>
        </w:rPr>
        <w:t>English, excellent in all levels</w:t>
      </w:r>
    </w:p>
    <w:p w14:paraId="0A6BF576" w14:textId="77777777" w:rsidR="007A443F" w:rsidRPr="005B3444" w:rsidRDefault="007A443F" w:rsidP="0067130F">
      <w:pPr>
        <w:pStyle w:val="ListParagraph"/>
        <w:numPr>
          <w:ilvl w:val="0"/>
          <w:numId w:val="5"/>
        </w:numPr>
        <w:rPr>
          <w:rFonts w:asciiTheme="majorBidi" w:hAnsiTheme="majorBidi" w:cstheme="majorBidi"/>
          <w:sz w:val="22"/>
          <w:szCs w:val="22"/>
        </w:rPr>
      </w:pPr>
      <w:r w:rsidRPr="005B3444">
        <w:rPr>
          <w:rFonts w:asciiTheme="majorBidi" w:hAnsiTheme="majorBidi" w:cstheme="majorBidi"/>
          <w:sz w:val="22"/>
          <w:szCs w:val="22"/>
        </w:rPr>
        <w:t>Hebrew, excellent in all levels</w:t>
      </w:r>
    </w:p>
    <w:p w14:paraId="6AB458C7" w14:textId="637E754C" w:rsidR="00F53DC8" w:rsidRPr="005B3444" w:rsidRDefault="007A443F" w:rsidP="0067130F">
      <w:pPr>
        <w:pStyle w:val="ListParagraph"/>
        <w:numPr>
          <w:ilvl w:val="0"/>
          <w:numId w:val="5"/>
        </w:numPr>
        <w:rPr>
          <w:rFonts w:asciiTheme="majorBidi" w:hAnsiTheme="majorBidi" w:cstheme="majorBidi"/>
          <w:sz w:val="22"/>
          <w:szCs w:val="22"/>
        </w:rPr>
      </w:pPr>
      <w:r w:rsidRPr="005B3444">
        <w:rPr>
          <w:rFonts w:asciiTheme="majorBidi" w:hAnsiTheme="majorBidi" w:cstheme="majorBidi"/>
          <w:sz w:val="22"/>
          <w:szCs w:val="22"/>
        </w:rPr>
        <w:t xml:space="preserve">Turkish and Ottoman Turkish, </w:t>
      </w:r>
      <w:r w:rsidR="00A3777D" w:rsidRPr="005B3444">
        <w:rPr>
          <w:rFonts w:asciiTheme="majorBidi" w:hAnsiTheme="majorBidi" w:cstheme="majorBidi"/>
          <w:sz w:val="22"/>
          <w:szCs w:val="22"/>
          <w:lang w:val="en-US"/>
        </w:rPr>
        <w:t>basic</w:t>
      </w:r>
      <w:r w:rsidRPr="005B3444">
        <w:rPr>
          <w:rFonts w:asciiTheme="majorBidi" w:hAnsiTheme="majorBidi" w:cstheme="majorBidi"/>
          <w:sz w:val="22"/>
          <w:szCs w:val="22"/>
        </w:rPr>
        <w:t xml:space="preserve"> reading skills</w:t>
      </w:r>
      <w:r w:rsidR="00A3777D" w:rsidRPr="005B3444">
        <w:rPr>
          <w:rFonts w:asciiTheme="majorBidi" w:hAnsiTheme="majorBidi" w:cstheme="majorBidi"/>
          <w:sz w:val="22"/>
          <w:szCs w:val="22"/>
          <w:lang w:val="en-US"/>
        </w:rPr>
        <w:t>.</w:t>
      </w:r>
      <w:r w:rsidRPr="005B3444">
        <w:rPr>
          <w:rFonts w:asciiTheme="majorBidi" w:hAnsiTheme="majorBidi" w:cstheme="majorBidi"/>
          <w:sz w:val="22"/>
          <w:szCs w:val="22"/>
        </w:rPr>
        <w:t xml:space="preserve"> </w:t>
      </w:r>
    </w:p>
    <w:p w14:paraId="23BEAAE1" w14:textId="7D128EC0" w:rsidR="00F53DC8" w:rsidRPr="005B3444" w:rsidRDefault="007A443F" w:rsidP="0067130F">
      <w:pPr>
        <w:pStyle w:val="ListParagraph"/>
        <w:numPr>
          <w:ilvl w:val="0"/>
          <w:numId w:val="5"/>
        </w:numPr>
        <w:rPr>
          <w:rFonts w:asciiTheme="majorBidi" w:hAnsiTheme="majorBidi" w:cstheme="majorBidi"/>
          <w:sz w:val="22"/>
          <w:szCs w:val="22"/>
          <w:lang w:val="en-US"/>
        </w:rPr>
      </w:pPr>
      <w:r w:rsidRPr="005B3444">
        <w:rPr>
          <w:rFonts w:asciiTheme="majorBidi" w:hAnsiTheme="majorBidi" w:cstheme="majorBidi"/>
          <w:sz w:val="22"/>
          <w:szCs w:val="22"/>
        </w:rPr>
        <w:t xml:space="preserve">French, </w:t>
      </w:r>
      <w:r w:rsidR="00A3777D" w:rsidRPr="005B3444">
        <w:rPr>
          <w:rFonts w:asciiTheme="majorBidi" w:hAnsiTheme="majorBidi" w:cstheme="majorBidi"/>
          <w:sz w:val="22"/>
          <w:szCs w:val="22"/>
          <w:lang w:val="en-US"/>
        </w:rPr>
        <w:t>basic.</w:t>
      </w:r>
    </w:p>
    <w:p w14:paraId="64AE3262" w14:textId="77777777" w:rsidR="00F03BF1" w:rsidRPr="00A1260E" w:rsidRDefault="007A443F" w:rsidP="00624D64">
      <w:pPr>
        <w:jc w:val="center"/>
        <w:rPr>
          <w:rFonts w:asciiTheme="majorBidi" w:hAnsiTheme="majorBidi" w:cstheme="majorBidi"/>
        </w:rPr>
      </w:pPr>
      <w:r w:rsidRPr="00A1260E">
        <w:rPr>
          <w:rFonts w:asciiTheme="majorBidi" w:hAnsiTheme="majorBidi" w:cstheme="majorBidi"/>
        </w:rPr>
        <w:t>_____________________</w:t>
      </w:r>
    </w:p>
    <w:p w14:paraId="09CFBFBC" w14:textId="6E7D42C4" w:rsidR="00CC40D9" w:rsidRPr="00A1260E" w:rsidRDefault="00F03BF1" w:rsidP="00624D64">
      <w:pPr>
        <w:jc w:val="center"/>
        <w:rPr>
          <w:rFonts w:asciiTheme="majorBidi" w:hAnsiTheme="majorBidi" w:cstheme="majorBidi"/>
        </w:rPr>
      </w:pPr>
      <w:r w:rsidRPr="00A1260E">
        <w:rPr>
          <w:rFonts w:asciiTheme="majorBidi" w:hAnsiTheme="majorBidi" w:cstheme="majorBidi"/>
          <w:sz w:val="22"/>
          <w:szCs w:val="22"/>
        </w:rPr>
        <w:t xml:space="preserve">Last updated: </w:t>
      </w:r>
      <w:r w:rsidR="002729A8">
        <w:rPr>
          <w:rFonts w:asciiTheme="majorBidi" w:hAnsiTheme="majorBidi" w:cstheme="majorBidi"/>
          <w:sz w:val="22"/>
          <w:szCs w:val="22"/>
          <w:lang w:val="en-US"/>
        </w:rPr>
        <w:t>May</w:t>
      </w:r>
      <w:r w:rsidRPr="00A1260E">
        <w:rPr>
          <w:rFonts w:asciiTheme="majorBidi" w:hAnsiTheme="majorBidi" w:cstheme="majorBidi"/>
          <w:sz w:val="22"/>
          <w:szCs w:val="22"/>
        </w:rPr>
        <w:t xml:space="preserve"> </w:t>
      </w:r>
      <w:r w:rsidR="007B430E" w:rsidRPr="00A1260E">
        <w:rPr>
          <w:rFonts w:asciiTheme="majorBidi" w:hAnsiTheme="majorBidi" w:cstheme="majorBidi"/>
          <w:sz w:val="22"/>
          <w:szCs w:val="22"/>
          <w:lang w:val="en-US"/>
        </w:rPr>
        <w:t>202</w:t>
      </w:r>
      <w:r w:rsidR="002729A8">
        <w:rPr>
          <w:rFonts w:asciiTheme="majorBidi" w:hAnsiTheme="majorBidi" w:cstheme="majorBidi"/>
          <w:sz w:val="22"/>
          <w:szCs w:val="22"/>
          <w:lang w:val="en-US"/>
        </w:rPr>
        <w:t>3</w:t>
      </w:r>
    </w:p>
    <w:sectPr w:rsidR="00CC40D9" w:rsidRPr="00A1260E" w:rsidSect="00BB54DB">
      <w:footerReference w:type="even" r:id="rId12"/>
      <w:footerReference w:type="default" r:id="rId13"/>
      <w:pgSz w:w="11900" w:h="16840"/>
      <w:pgMar w:top="642" w:right="1388" w:bottom="1228"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71FB4" w14:textId="77777777" w:rsidR="00437E2F" w:rsidRDefault="00437E2F" w:rsidP="007A443F">
      <w:r>
        <w:separator/>
      </w:r>
    </w:p>
  </w:endnote>
  <w:endnote w:type="continuationSeparator" w:id="0">
    <w:p w14:paraId="1E6A7EC2" w14:textId="77777777" w:rsidR="00437E2F" w:rsidRDefault="00437E2F" w:rsidP="007A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6529066"/>
      <w:docPartObj>
        <w:docPartGallery w:val="Page Numbers (Bottom of Page)"/>
        <w:docPartUnique/>
      </w:docPartObj>
    </w:sdtPr>
    <w:sdtContent>
      <w:p w14:paraId="0A20451A" w14:textId="4AE0054B" w:rsidR="007A443F" w:rsidRDefault="007A443F" w:rsidP="00BC39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624D64">
          <w:rPr>
            <w:rStyle w:val="PageNumber"/>
          </w:rPr>
          <w:fldChar w:fldCharType="separate"/>
        </w:r>
        <w:r w:rsidR="00624D64">
          <w:rPr>
            <w:rStyle w:val="PageNumber"/>
            <w:noProof/>
          </w:rPr>
          <w:t>1</w:t>
        </w:r>
        <w:r>
          <w:rPr>
            <w:rStyle w:val="PageNumber"/>
          </w:rPr>
          <w:fldChar w:fldCharType="end"/>
        </w:r>
      </w:p>
    </w:sdtContent>
  </w:sdt>
  <w:p w14:paraId="13079BB0" w14:textId="77777777" w:rsidR="007A443F" w:rsidRDefault="007A443F" w:rsidP="007A44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6184881"/>
      <w:docPartObj>
        <w:docPartGallery w:val="Page Numbers (Bottom of Page)"/>
        <w:docPartUnique/>
      </w:docPartObj>
    </w:sdtPr>
    <w:sdtContent>
      <w:p w14:paraId="7A1D9BF1" w14:textId="77777777" w:rsidR="007A443F" w:rsidRDefault="007A443F" w:rsidP="00BC39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F466AF" w14:textId="77777777" w:rsidR="007A443F" w:rsidRDefault="007A443F" w:rsidP="007A44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A0A81" w14:textId="77777777" w:rsidR="00437E2F" w:rsidRDefault="00437E2F" w:rsidP="007A443F">
      <w:r>
        <w:separator/>
      </w:r>
    </w:p>
  </w:footnote>
  <w:footnote w:type="continuationSeparator" w:id="0">
    <w:p w14:paraId="3FF5E4E4" w14:textId="77777777" w:rsidR="00437E2F" w:rsidRDefault="00437E2F" w:rsidP="007A4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778F4"/>
    <w:multiLevelType w:val="hybridMultilevel"/>
    <w:tmpl w:val="AD6A465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45426C"/>
    <w:multiLevelType w:val="hybridMultilevel"/>
    <w:tmpl w:val="E132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D46D3"/>
    <w:multiLevelType w:val="hybridMultilevel"/>
    <w:tmpl w:val="89D0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4348B"/>
    <w:multiLevelType w:val="hybridMultilevel"/>
    <w:tmpl w:val="0520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C33DD4"/>
    <w:multiLevelType w:val="hybridMultilevel"/>
    <w:tmpl w:val="537C55E4"/>
    <w:lvl w:ilvl="0" w:tplc="312CB8F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053A53"/>
    <w:multiLevelType w:val="hybridMultilevel"/>
    <w:tmpl w:val="9EA6BEDC"/>
    <w:lvl w:ilvl="0" w:tplc="2FD2EF5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A424AE"/>
    <w:multiLevelType w:val="hybridMultilevel"/>
    <w:tmpl w:val="ABE2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8481258">
    <w:abstractNumId w:val="4"/>
  </w:num>
  <w:num w:numId="2" w16cid:durableId="920485546">
    <w:abstractNumId w:val="5"/>
  </w:num>
  <w:num w:numId="3" w16cid:durableId="758599862">
    <w:abstractNumId w:val="3"/>
  </w:num>
  <w:num w:numId="4" w16cid:durableId="1330910191">
    <w:abstractNumId w:val="6"/>
  </w:num>
  <w:num w:numId="5" w16cid:durableId="146022995">
    <w:abstractNumId w:val="1"/>
  </w:num>
  <w:num w:numId="6" w16cid:durableId="301926096">
    <w:abstractNumId w:val="2"/>
  </w:num>
  <w:num w:numId="7" w16cid:durableId="2077777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BF1"/>
    <w:rsid w:val="000B07F5"/>
    <w:rsid w:val="001733A4"/>
    <w:rsid w:val="00174BC9"/>
    <w:rsid w:val="001C7E1C"/>
    <w:rsid w:val="001D5BB0"/>
    <w:rsid w:val="00206AB0"/>
    <w:rsid w:val="00260558"/>
    <w:rsid w:val="002729A8"/>
    <w:rsid w:val="002A7205"/>
    <w:rsid w:val="002C5037"/>
    <w:rsid w:val="002F45E3"/>
    <w:rsid w:val="00342EA4"/>
    <w:rsid w:val="003534A1"/>
    <w:rsid w:val="003B11C8"/>
    <w:rsid w:val="003D062E"/>
    <w:rsid w:val="00437E2F"/>
    <w:rsid w:val="004F63B8"/>
    <w:rsid w:val="00523778"/>
    <w:rsid w:val="005B3444"/>
    <w:rsid w:val="00624D64"/>
    <w:rsid w:val="00640454"/>
    <w:rsid w:val="0067130F"/>
    <w:rsid w:val="006C2ABE"/>
    <w:rsid w:val="006D2F10"/>
    <w:rsid w:val="006E042B"/>
    <w:rsid w:val="007105DF"/>
    <w:rsid w:val="00765FE0"/>
    <w:rsid w:val="00770DC8"/>
    <w:rsid w:val="007720B6"/>
    <w:rsid w:val="00783671"/>
    <w:rsid w:val="00797B6C"/>
    <w:rsid w:val="007A443F"/>
    <w:rsid w:val="007A76F1"/>
    <w:rsid w:val="007B1BF4"/>
    <w:rsid w:val="007B430E"/>
    <w:rsid w:val="00814902"/>
    <w:rsid w:val="0083503B"/>
    <w:rsid w:val="00835337"/>
    <w:rsid w:val="008773DF"/>
    <w:rsid w:val="008A29BA"/>
    <w:rsid w:val="0091572E"/>
    <w:rsid w:val="009430ED"/>
    <w:rsid w:val="00957078"/>
    <w:rsid w:val="00961BF0"/>
    <w:rsid w:val="009717E7"/>
    <w:rsid w:val="009934FC"/>
    <w:rsid w:val="009967C4"/>
    <w:rsid w:val="00A1260E"/>
    <w:rsid w:val="00A228BA"/>
    <w:rsid w:val="00A3777D"/>
    <w:rsid w:val="00A64132"/>
    <w:rsid w:val="00A7620D"/>
    <w:rsid w:val="00B03180"/>
    <w:rsid w:val="00B46381"/>
    <w:rsid w:val="00B81FB9"/>
    <w:rsid w:val="00BA68F4"/>
    <w:rsid w:val="00BB54DB"/>
    <w:rsid w:val="00BE152B"/>
    <w:rsid w:val="00C6663E"/>
    <w:rsid w:val="00C9686B"/>
    <w:rsid w:val="00CA10DC"/>
    <w:rsid w:val="00CB615C"/>
    <w:rsid w:val="00D37188"/>
    <w:rsid w:val="00DE58BC"/>
    <w:rsid w:val="00E1546D"/>
    <w:rsid w:val="00E27137"/>
    <w:rsid w:val="00F03BF1"/>
    <w:rsid w:val="00F2459C"/>
    <w:rsid w:val="00F377EF"/>
    <w:rsid w:val="00F37D16"/>
    <w:rsid w:val="00F53DC8"/>
    <w:rsid w:val="00F921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9F73AC8"/>
  <w15:chartTrackingRefBased/>
  <w15:docId w15:val="{352082D2-B70B-6A4C-AC5D-8E7F77A7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BF0"/>
    <w:rPr>
      <w:rFonts w:ascii="Times New Roman" w:eastAsia="Times New Roman" w:hAnsi="Times New Roman" w:cs="Times New Roman"/>
      <w:lang w:val="en-IL"/>
    </w:rPr>
  </w:style>
  <w:style w:type="paragraph" w:styleId="Heading1">
    <w:name w:val="heading 1"/>
    <w:basedOn w:val="Normal"/>
    <w:link w:val="Heading1Char"/>
    <w:uiPriority w:val="9"/>
    <w:qFormat/>
    <w:rsid w:val="0083533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E27137"/>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3BF1"/>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F03BF1"/>
    <w:rPr>
      <w:rFonts w:eastAsiaTheme="minorHAnsi"/>
      <w:sz w:val="18"/>
      <w:szCs w:val="18"/>
      <w:lang w:val="en-US"/>
    </w:rPr>
  </w:style>
  <w:style w:type="character" w:customStyle="1" w:styleId="BalloonTextChar">
    <w:name w:val="Balloon Text Char"/>
    <w:basedOn w:val="DefaultParagraphFont"/>
    <w:link w:val="BalloonText"/>
    <w:uiPriority w:val="99"/>
    <w:semiHidden/>
    <w:rsid w:val="00F03BF1"/>
    <w:rPr>
      <w:rFonts w:ascii="Times New Roman" w:hAnsi="Times New Roman" w:cs="Times New Roman"/>
      <w:sz w:val="18"/>
      <w:szCs w:val="18"/>
    </w:rPr>
  </w:style>
  <w:style w:type="paragraph" w:styleId="Footer">
    <w:name w:val="footer"/>
    <w:basedOn w:val="Normal"/>
    <w:link w:val="FooterChar"/>
    <w:uiPriority w:val="99"/>
    <w:unhideWhenUsed/>
    <w:rsid w:val="007A443F"/>
    <w:pPr>
      <w:tabs>
        <w:tab w:val="center" w:pos="4680"/>
        <w:tab w:val="right" w:pos="9360"/>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7A443F"/>
  </w:style>
  <w:style w:type="character" w:styleId="PageNumber">
    <w:name w:val="page number"/>
    <w:basedOn w:val="DefaultParagraphFont"/>
    <w:uiPriority w:val="99"/>
    <w:semiHidden/>
    <w:unhideWhenUsed/>
    <w:rsid w:val="007A443F"/>
  </w:style>
  <w:style w:type="character" w:styleId="Hyperlink">
    <w:name w:val="Hyperlink"/>
    <w:basedOn w:val="DefaultParagraphFont"/>
    <w:uiPriority w:val="99"/>
    <w:unhideWhenUsed/>
    <w:rsid w:val="00F53DC8"/>
    <w:rPr>
      <w:color w:val="0563C1" w:themeColor="hyperlink"/>
      <w:u w:val="single"/>
    </w:rPr>
  </w:style>
  <w:style w:type="character" w:styleId="UnresolvedMention">
    <w:name w:val="Unresolved Mention"/>
    <w:basedOn w:val="DefaultParagraphFont"/>
    <w:uiPriority w:val="99"/>
    <w:semiHidden/>
    <w:unhideWhenUsed/>
    <w:rsid w:val="00F53DC8"/>
    <w:rPr>
      <w:color w:val="605E5C"/>
      <w:shd w:val="clear" w:color="auto" w:fill="E1DFDD"/>
    </w:rPr>
  </w:style>
  <w:style w:type="character" w:customStyle="1" w:styleId="Heading1Char">
    <w:name w:val="Heading 1 Char"/>
    <w:basedOn w:val="DefaultParagraphFont"/>
    <w:link w:val="Heading1"/>
    <w:uiPriority w:val="9"/>
    <w:rsid w:val="00835337"/>
    <w:rPr>
      <w:rFonts w:ascii="Times New Roman" w:eastAsia="Times New Roman" w:hAnsi="Times New Roman" w:cs="Times New Roman"/>
      <w:b/>
      <w:bCs/>
      <w:kern w:val="36"/>
      <w:sz w:val="48"/>
      <w:szCs w:val="48"/>
      <w:lang w:val="en-IL"/>
    </w:rPr>
  </w:style>
  <w:style w:type="character" w:customStyle="1" w:styleId="a-size-extra-large">
    <w:name w:val="a-size-extra-large"/>
    <w:basedOn w:val="DefaultParagraphFont"/>
    <w:rsid w:val="00835337"/>
  </w:style>
  <w:style w:type="character" w:customStyle="1" w:styleId="apple-converted-space">
    <w:name w:val="apple-converted-space"/>
    <w:basedOn w:val="DefaultParagraphFont"/>
    <w:rsid w:val="00835337"/>
  </w:style>
  <w:style w:type="character" w:customStyle="1" w:styleId="a-size-large">
    <w:name w:val="a-size-large"/>
    <w:basedOn w:val="DefaultParagraphFont"/>
    <w:rsid w:val="00835337"/>
  </w:style>
  <w:style w:type="character" w:customStyle="1" w:styleId="author">
    <w:name w:val="author"/>
    <w:basedOn w:val="DefaultParagraphFont"/>
    <w:rsid w:val="00835337"/>
  </w:style>
  <w:style w:type="character" w:customStyle="1" w:styleId="a-declarative">
    <w:name w:val="a-declarative"/>
    <w:basedOn w:val="DefaultParagraphFont"/>
    <w:rsid w:val="00835337"/>
  </w:style>
  <w:style w:type="character" w:customStyle="1" w:styleId="a-color-secondary">
    <w:name w:val="a-color-secondary"/>
    <w:basedOn w:val="DefaultParagraphFont"/>
    <w:rsid w:val="00835337"/>
  </w:style>
  <w:style w:type="paragraph" w:customStyle="1" w:styleId="cs">
    <w:name w:val="cs"/>
    <w:basedOn w:val="Normal"/>
    <w:next w:val="Normal"/>
    <w:uiPriority w:val="1"/>
    <w:rsid w:val="00957078"/>
    <w:pPr>
      <w:spacing w:after="300"/>
      <w:jc w:val="center"/>
      <w:outlineLvl w:val="0"/>
    </w:pPr>
    <w:rPr>
      <w:rFonts w:ascii="Arial" w:hAnsi="Arial"/>
      <w:sz w:val="44"/>
      <w:szCs w:val="20"/>
      <w:lang w:val="en-US"/>
    </w:rPr>
  </w:style>
  <w:style w:type="paragraph" w:customStyle="1" w:styleId="ct">
    <w:name w:val="ct"/>
    <w:next w:val="Normal"/>
    <w:uiPriority w:val="1"/>
    <w:rsid w:val="00957078"/>
    <w:pPr>
      <w:widowControl w:val="0"/>
      <w:spacing w:after="300"/>
      <w:jc w:val="center"/>
      <w:outlineLvl w:val="1"/>
    </w:pPr>
    <w:rPr>
      <w:rFonts w:ascii="Times New Roman" w:eastAsia="Times New Roman" w:hAnsi="Times New Roman" w:cs="Times New Roman"/>
      <w:sz w:val="60"/>
      <w:szCs w:val="20"/>
    </w:rPr>
  </w:style>
  <w:style w:type="character" w:customStyle="1" w:styleId="Heading2Char">
    <w:name w:val="Heading 2 Char"/>
    <w:basedOn w:val="DefaultParagraphFont"/>
    <w:link w:val="Heading2"/>
    <w:uiPriority w:val="9"/>
    <w:rsid w:val="00E27137"/>
    <w:rPr>
      <w:rFonts w:asciiTheme="majorHAnsi" w:eastAsiaTheme="majorEastAsia" w:hAnsiTheme="majorHAnsi" w:cstheme="majorBidi"/>
      <w:color w:val="2F5496" w:themeColor="accent1" w:themeShade="BF"/>
      <w:sz w:val="26"/>
      <w:szCs w:val="26"/>
    </w:rPr>
  </w:style>
  <w:style w:type="paragraph" w:customStyle="1" w:styleId="paragraphic">
    <w:name w:val="paragraphic"/>
    <w:basedOn w:val="Normal"/>
    <w:rsid w:val="00E27137"/>
    <w:pPr>
      <w:spacing w:before="100" w:beforeAutospacing="1" w:after="100" w:afterAutospacing="1"/>
    </w:pPr>
  </w:style>
  <w:style w:type="character" w:styleId="Emphasis">
    <w:name w:val="Emphasis"/>
    <w:basedOn w:val="DefaultParagraphFont"/>
    <w:uiPriority w:val="20"/>
    <w:qFormat/>
    <w:rsid w:val="00961BF0"/>
    <w:rPr>
      <w:i/>
      <w:iCs/>
    </w:rPr>
  </w:style>
  <w:style w:type="paragraph" w:styleId="ListParagraph">
    <w:name w:val="List Paragraph"/>
    <w:basedOn w:val="Normal"/>
    <w:uiPriority w:val="34"/>
    <w:qFormat/>
    <w:rsid w:val="00BE152B"/>
    <w:pPr>
      <w:ind w:left="720"/>
      <w:contextualSpacing/>
    </w:pPr>
  </w:style>
  <w:style w:type="character" w:styleId="FollowedHyperlink">
    <w:name w:val="FollowedHyperlink"/>
    <w:basedOn w:val="DefaultParagraphFont"/>
    <w:uiPriority w:val="99"/>
    <w:semiHidden/>
    <w:unhideWhenUsed/>
    <w:rsid w:val="00A64132"/>
    <w:rPr>
      <w:color w:val="954F72" w:themeColor="followedHyperlink"/>
      <w:u w:val="single"/>
    </w:rPr>
  </w:style>
  <w:style w:type="character" w:customStyle="1" w:styleId="titlewd">
    <w:name w:val="titlewd"/>
    <w:basedOn w:val="DefaultParagraphFont"/>
    <w:rsid w:val="001733A4"/>
  </w:style>
  <w:style w:type="character" w:customStyle="1" w:styleId="meta--place">
    <w:name w:val="meta--place"/>
    <w:basedOn w:val="DefaultParagraphFont"/>
    <w:rsid w:val="001733A4"/>
  </w:style>
  <w:style w:type="character" w:customStyle="1" w:styleId="meta--date">
    <w:name w:val="meta--date"/>
    <w:basedOn w:val="DefaultParagraphFont"/>
    <w:rsid w:val="00173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80787">
      <w:bodyDiv w:val="1"/>
      <w:marLeft w:val="0"/>
      <w:marRight w:val="0"/>
      <w:marTop w:val="0"/>
      <w:marBottom w:val="0"/>
      <w:divBdr>
        <w:top w:val="none" w:sz="0" w:space="0" w:color="auto"/>
        <w:left w:val="none" w:sz="0" w:space="0" w:color="auto"/>
        <w:bottom w:val="none" w:sz="0" w:space="0" w:color="auto"/>
        <w:right w:val="none" w:sz="0" w:space="0" w:color="auto"/>
      </w:divBdr>
      <w:divsChild>
        <w:div w:id="1687977320">
          <w:marLeft w:val="0"/>
          <w:marRight w:val="0"/>
          <w:marTop w:val="375"/>
          <w:marBottom w:val="225"/>
          <w:divBdr>
            <w:top w:val="none" w:sz="0" w:space="0" w:color="auto"/>
            <w:left w:val="none" w:sz="0" w:space="0" w:color="auto"/>
            <w:bottom w:val="single" w:sz="6" w:space="15" w:color="CCCCCC"/>
            <w:right w:val="none" w:sz="0" w:space="0" w:color="auto"/>
          </w:divBdr>
          <w:divsChild>
            <w:div w:id="1382679081">
              <w:marLeft w:val="0"/>
              <w:marRight w:val="0"/>
              <w:marTop w:val="0"/>
              <w:marBottom w:val="0"/>
              <w:divBdr>
                <w:top w:val="none" w:sz="0" w:space="0" w:color="auto"/>
                <w:left w:val="none" w:sz="0" w:space="0" w:color="auto"/>
                <w:bottom w:val="none" w:sz="0" w:space="0" w:color="auto"/>
                <w:right w:val="none" w:sz="0" w:space="0" w:color="auto"/>
              </w:divBdr>
            </w:div>
          </w:divsChild>
        </w:div>
        <w:div w:id="799496545">
          <w:marLeft w:val="0"/>
          <w:marRight w:val="0"/>
          <w:marTop w:val="0"/>
          <w:marBottom w:val="750"/>
          <w:divBdr>
            <w:top w:val="none" w:sz="0" w:space="0" w:color="auto"/>
            <w:left w:val="none" w:sz="0" w:space="0" w:color="auto"/>
            <w:bottom w:val="none" w:sz="0" w:space="0" w:color="auto"/>
            <w:right w:val="none" w:sz="0" w:space="0" w:color="auto"/>
          </w:divBdr>
        </w:div>
      </w:divsChild>
    </w:div>
    <w:div w:id="667826781">
      <w:bodyDiv w:val="1"/>
      <w:marLeft w:val="0"/>
      <w:marRight w:val="0"/>
      <w:marTop w:val="0"/>
      <w:marBottom w:val="0"/>
      <w:divBdr>
        <w:top w:val="none" w:sz="0" w:space="0" w:color="auto"/>
        <w:left w:val="none" w:sz="0" w:space="0" w:color="auto"/>
        <w:bottom w:val="none" w:sz="0" w:space="0" w:color="auto"/>
        <w:right w:val="none" w:sz="0" w:space="0" w:color="auto"/>
      </w:divBdr>
    </w:div>
    <w:div w:id="781076904">
      <w:bodyDiv w:val="1"/>
      <w:marLeft w:val="0"/>
      <w:marRight w:val="0"/>
      <w:marTop w:val="0"/>
      <w:marBottom w:val="0"/>
      <w:divBdr>
        <w:top w:val="none" w:sz="0" w:space="0" w:color="auto"/>
        <w:left w:val="none" w:sz="0" w:space="0" w:color="auto"/>
        <w:bottom w:val="none" w:sz="0" w:space="0" w:color="auto"/>
        <w:right w:val="none" w:sz="0" w:space="0" w:color="auto"/>
      </w:divBdr>
      <w:divsChild>
        <w:div w:id="1857304578">
          <w:marLeft w:val="0"/>
          <w:marRight w:val="0"/>
          <w:marTop w:val="0"/>
          <w:marBottom w:val="0"/>
          <w:divBdr>
            <w:top w:val="none" w:sz="0" w:space="0" w:color="auto"/>
            <w:left w:val="none" w:sz="0" w:space="0" w:color="auto"/>
            <w:bottom w:val="none" w:sz="0" w:space="0" w:color="auto"/>
            <w:right w:val="none" w:sz="0" w:space="0" w:color="auto"/>
          </w:divBdr>
          <w:divsChild>
            <w:div w:id="1901284343">
              <w:marLeft w:val="0"/>
              <w:marRight w:val="0"/>
              <w:marTop w:val="0"/>
              <w:marBottom w:val="0"/>
              <w:divBdr>
                <w:top w:val="none" w:sz="0" w:space="0" w:color="auto"/>
                <w:left w:val="none" w:sz="0" w:space="0" w:color="auto"/>
                <w:bottom w:val="none" w:sz="0" w:space="0" w:color="auto"/>
                <w:right w:val="none" w:sz="0" w:space="0" w:color="auto"/>
              </w:divBdr>
              <w:divsChild>
                <w:div w:id="813060778">
                  <w:marLeft w:val="0"/>
                  <w:marRight w:val="0"/>
                  <w:marTop w:val="0"/>
                  <w:marBottom w:val="0"/>
                  <w:divBdr>
                    <w:top w:val="none" w:sz="0" w:space="0" w:color="auto"/>
                    <w:left w:val="none" w:sz="0" w:space="0" w:color="auto"/>
                    <w:bottom w:val="none" w:sz="0" w:space="0" w:color="auto"/>
                    <w:right w:val="none" w:sz="0" w:space="0" w:color="auto"/>
                  </w:divBdr>
                  <w:divsChild>
                    <w:div w:id="3511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149667">
      <w:bodyDiv w:val="1"/>
      <w:marLeft w:val="0"/>
      <w:marRight w:val="0"/>
      <w:marTop w:val="0"/>
      <w:marBottom w:val="0"/>
      <w:divBdr>
        <w:top w:val="none" w:sz="0" w:space="0" w:color="auto"/>
        <w:left w:val="none" w:sz="0" w:space="0" w:color="auto"/>
        <w:bottom w:val="none" w:sz="0" w:space="0" w:color="auto"/>
        <w:right w:val="none" w:sz="0" w:space="0" w:color="auto"/>
      </w:divBdr>
    </w:div>
    <w:div w:id="1054623451">
      <w:bodyDiv w:val="1"/>
      <w:marLeft w:val="0"/>
      <w:marRight w:val="0"/>
      <w:marTop w:val="0"/>
      <w:marBottom w:val="0"/>
      <w:divBdr>
        <w:top w:val="none" w:sz="0" w:space="0" w:color="auto"/>
        <w:left w:val="none" w:sz="0" w:space="0" w:color="auto"/>
        <w:bottom w:val="none" w:sz="0" w:space="0" w:color="auto"/>
        <w:right w:val="none" w:sz="0" w:space="0" w:color="auto"/>
      </w:divBdr>
      <w:divsChild>
        <w:div w:id="314072005">
          <w:marLeft w:val="0"/>
          <w:marRight w:val="0"/>
          <w:marTop w:val="375"/>
          <w:marBottom w:val="225"/>
          <w:divBdr>
            <w:top w:val="none" w:sz="0" w:space="0" w:color="auto"/>
            <w:left w:val="none" w:sz="0" w:space="0" w:color="auto"/>
            <w:bottom w:val="single" w:sz="6" w:space="15" w:color="CCCCCC"/>
            <w:right w:val="none" w:sz="0" w:space="0" w:color="auto"/>
          </w:divBdr>
          <w:divsChild>
            <w:div w:id="264309397">
              <w:marLeft w:val="0"/>
              <w:marRight w:val="0"/>
              <w:marTop w:val="0"/>
              <w:marBottom w:val="0"/>
              <w:divBdr>
                <w:top w:val="none" w:sz="0" w:space="0" w:color="auto"/>
                <w:left w:val="none" w:sz="0" w:space="0" w:color="auto"/>
                <w:bottom w:val="none" w:sz="0" w:space="0" w:color="auto"/>
                <w:right w:val="none" w:sz="0" w:space="0" w:color="auto"/>
              </w:divBdr>
            </w:div>
          </w:divsChild>
        </w:div>
        <w:div w:id="1012297891">
          <w:marLeft w:val="0"/>
          <w:marRight w:val="0"/>
          <w:marTop w:val="0"/>
          <w:marBottom w:val="750"/>
          <w:divBdr>
            <w:top w:val="none" w:sz="0" w:space="0" w:color="auto"/>
            <w:left w:val="none" w:sz="0" w:space="0" w:color="auto"/>
            <w:bottom w:val="none" w:sz="0" w:space="0" w:color="auto"/>
            <w:right w:val="none" w:sz="0" w:space="0" w:color="auto"/>
          </w:divBdr>
        </w:div>
      </w:divsChild>
    </w:div>
    <w:div w:id="1073550428">
      <w:bodyDiv w:val="1"/>
      <w:marLeft w:val="0"/>
      <w:marRight w:val="0"/>
      <w:marTop w:val="0"/>
      <w:marBottom w:val="0"/>
      <w:divBdr>
        <w:top w:val="none" w:sz="0" w:space="0" w:color="auto"/>
        <w:left w:val="none" w:sz="0" w:space="0" w:color="auto"/>
        <w:bottom w:val="none" w:sz="0" w:space="0" w:color="auto"/>
        <w:right w:val="none" w:sz="0" w:space="0" w:color="auto"/>
      </w:divBdr>
      <w:divsChild>
        <w:div w:id="1301612926">
          <w:marLeft w:val="0"/>
          <w:marRight w:val="0"/>
          <w:marTop w:val="0"/>
          <w:marBottom w:val="0"/>
          <w:divBdr>
            <w:top w:val="none" w:sz="0" w:space="0" w:color="auto"/>
            <w:left w:val="none" w:sz="0" w:space="0" w:color="auto"/>
            <w:bottom w:val="none" w:sz="0" w:space="0" w:color="auto"/>
            <w:right w:val="none" w:sz="0" w:space="0" w:color="auto"/>
          </w:divBdr>
          <w:divsChild>
            <w:div w:id="1418012526">
              <w:marLeft w:val="0"/>
              <w:marRight w:val="0"/>
              <w:marTop w:val="0"/>
              <w:marBottom w:val="0"/>
              <w:divBdr>
                <w:top w:val="none" w:sz="0" w:space="0" w:color="auto"/>
                <w:left w:val="none" w:sz="0" w:space="0" w:color="auto"/>
                <w:bottom w:val="none" w:sz="0" w:space="0" w:color="auto"/>
                <w:right w:val="none" w:sz="0" w:space="0" w:color="auto"/>
              </w:divBdr>
              <w:divsChild>
                <w:div w:id="1290090699">
                  <w:marLeft w:val="0"/>
                  <w:marRight w:val="0"/>
                  <w:marTop w:val="0"/>
                  <w:marBottom w:val="0"/>
                  <w:divBdr>
                    <w:top w:val="none" w:sz="0" w:space="0" w:color="auto"/>
                    <w:left w:val="none" w:sz="0" w:space="0" w:color="auto"/>
                    <w:bottom w:val="none" w:sz="0" w:space="0" w:color="auto"/>
                    <w:right w:val="none" w:sz="0" w:space="0" w:color="auto"/>
                  </w:divBdr>
                </w:div>
              </w:divsChild>
            </w:div>
            <w:div w:id="1265308682">
              <w:marLeft w:val="0"/>
              <w:marRight w:val="0"/>
              <w:marTop w:val="0"/>
              <w:marBottom w:val="0"/>
              <w:divBdr>
                <w:top w:val="none" w:sz="0" w:space="0" w:color="auto"/>
                <w:left w:val="none" w:sz="0" w:space="0" w:color="auto"/>
                <w:bottom w:val="none" w:sz="0" w:space="0" w:color="auto"/>
                <w:right w:val="none" w:sz="0" w:space="0" w:color="auto"/>
              </w:divBdr>
              <w:divsChild>
                <w:div w:id="1209761466">
                  <w:marLeft w:val="0"/>
                  <w:marRight w:val="0"/>
                  <w:marTop w:val="0"/>
                  <w:marBottom w:val="0"/>
                  <w:divBdr>
                    <w:top w:val="none" w:sz="0" w:space="0" w:color="auto"/>
                    <w:left w:val="none" w:sz="0" w:space="0" w:color="auto"/>
                    <w:bottom w:val="none" w:sz="0" w:space="0" w:color="auto"/>
                    <w:right w:val="none" w:sz="0" w:space="0" w:color="auto"/>
                  </w:divBdr>
                </w:div>
              </w:divsChild>
            </w:div>
            <w:div w:id="1373919861">
              <w:marLeft w:val="0"/>
              <w:marRight w:val="0"/>
              <w:marTop w:val="0"/>
              <w:marBottom w:val="0"/>
              <w:divBdr>
                <w:top w:val="none" w:sz="0" w:space="0" w:color="auto"/>
                <w:left w:val="none" w:sz="0" w:space="0" w:color="auto"/>
                <w:bottom w:val="none" w:sz="0" w:space="0" w:color="auto"/>
                <w:right w:val="none" w:sz="0" w:space="0" w:color="auto"/>
              </w:divBdr>
              <w:divsChild>
                <w:div w:id="15097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13925">
      <w:bodyDiv w:val="1"/>
      <w:marLeft w:val="0"/>
      <w:marRight w:val="0"/>
      <w:marTop w:val="0"/>
      <w:marBottom w:val="0"/>
      <w:divBdr>
        <w:top w:val="none" w:sz="0" w:space="0" w:color="auto"/>
        <w:left w:val="none" w:sz="0" w:space="0" w:color="auto"/>
        <w:bottom w:val="none" w:sz="0" w:space="0" w:color="auto"/>
        <w:right w:val="none" w:sz="0" w:space="0" w:color="auto"/>
      </w:divBdr>
    </w:div>
    <w:div w:id="1107968665">
      <w:bodyDiv w:val="1"/>
      <w:marLeft w:val="0"/>
      <w:marRight w:val="0"/>
      <w:marTop w:val="0"/>
      <w:marBottom w:val="0"/>
      <w:divBdr>
        <w:top w:val="none" w:sz="0" w:space="0" w:color="auto"/>
        <w:left w:val="none" w:sz="0" w:space="0" w:color="auto"/>
        <w:bottom w:val="none" w:sz="0" w:space="0" w:color="auto"/>
        <w:right w:val="none" w:sz="0" w:space="0" w:color="auto"/>
      </w:divBdr>
      <w:divsChild>
        <w:div w:id="1104038605">
          <w:marLeft w:val="0"/>
          <w:marRight w:val="0"/>
          <w:marTop w:val="0"/>
          <w:marBottom w:val="0"/>
          <w:divBdr>
            <w:top w:val="none" w:sz="0" w:space="0" w:color="auto"/>
            <w:left w:val="none" w:sz="0" w:space="0" w:color="auto"/>
            <w:bottom w:val="none" w:sz="0" w:space="0" w:color="auto"/>
            <w:right w:val="none" w:sz="0" w:space="0" w:color="auto"/>
          </w:divBdr>
          <w:divsChild>
            <w:div w:id="384062044">
              <w:marLeft w:val="0"/>
              <w:marRight w:val="0"/>
              <w:marTop w:val="0"/>
              <w:marBottom w:val="0"/>
              <w:divBdr>
                <w:top w:val="none" w:sz="0" w:space="0" w:color="auto"/>
                <w:left w:val="none" w:sz="0" w:space="0" w:color="auto"/>
                <w:bottom w:val="none" w:sz="0" w:space="0" w:color="auto"/>
                <w:right w:val="none" w:sz="0" w:space="0" w:color="auto"/>
              </w:divBdr>
              <w:divsChild>
                <w:div w:id="2057773709">
                  <w:marLeft w:val="0"/>
                  <w:marRight w:val="0"/>
                  <w:marTop w:val="0"/>
                  <w:marBottom w:val="0"/>
                  <w:divBdr>
                    <w:top w:val="none" w:sz="0" w:space="0" w:color="auto"/>
                    <w:left w:val="none" w:sz="0" w:space="0" w:color="auto"/>
                    <w:bottom w:val="none" w:sz="0" w:space="0" w:color="auto"/>
                    <w:right w:val="none" w:sz="0" w:space="0" w:color="auto"/>
                  </w:divBdr>
                  <w:divsChild>
                    <w:div w:id="15916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2465">
      <w:bodyDiv w:val="1"/>
      <w:marLeft w:val="0"/>
      <w:marRight w:val="0"/>
      <w:marTop w:val="0"/>
      <w:marBottom w:val="0"/>
      <w:divBdr>
        <w:top w:val="none" w:sz="0" w:space="0" w:color="auto"/>
        <w:left w:val="none" w:sz="0" w:space="0" w:color="auto"/>
        <w:bottom w:val="none" w:sz="0" w:space="0" w:color="auto"/>
        <w:right w:val="none" w:sz="0" w:space="0" w:color="auto"/>
      </w:divBdr>
      <w:divsChild>
        <w:div w:id="838426243">
          <w:marLeft w:val="0"/>
          <w:marRight w:val="0"/>
          <w:marTop w:val="0"/>
          <w:marBottom w:val="0"/>
          <w:divBdr>
            <w:top w:val="none" w:sz="0" w:space="0" w:color="auto"/>
            <w:left w:val="none" w:sz="0" w:space="0" w:color="auto"/>
            <w:bottom w:val="none" w:sz="0" w:space="0" w:color="auto"/>
            <w:right w:val="none" w:sz="0" w:space="0" w:color="auto"/>
          </w:divBdr>
          <w:divsChild>
            <w:div w:id="1821725796">
              <w:marLeft w:val="0"/>
              <w:marRight w:val="0"/>
              <w:marTop w:val="0"/>
              <w:marBottom w:val="0"/>
              <w:divBdr>
                <w:top w:val="none" w:sz="0" w:space="0" w:color="auto"/>
                <w:left w:val="none" w:sz="0" w:space="0" w:color="auto"/>
                <w:bottom w:val="none" w:sz="0" w:space="0" w:color="auto"/>
                <w:right w:val="none" w:sz="0" w:space="0" w:color="auto"/>
              </w:divBdr>
              <w:divsChild>
                <w:div w:id="2118677058">
                  <w:marLeft w:val="0"/>
                  <w:marRight w:val="0"/>
                  <w:marTop w:val="0"/>
                  <w:marBottom w:val="0"/>
                  <w:divBdr>
                    <w:top w:val="none" w:sz="0" w:space="0" w:color="auto"/>
                    <w:left w:val="none" w:sz="0" w:space="0" w:color="auto"/>
                    <w:bottom w:val="none" w:sz="0" w:space="0" w:color="auto"/>
                    <w:right w:val="none" w:sz="0" w:space="0" w:color="auto"/>
                  </w:divBdr>
                </w:div>
              </w:divsChild>
            </w:div>
            <w:div w:id="1197305348">
              <w:marLeft w:val="0"/>
              <w:marRight w:val="0"/>
              <w:marTop w:val="0"/>
              <w:marBottom w:val="0"/>
              <w:divBdr>
                <w:top w:val="none" w:sz="0" w:space="0" w:color="auto"/>
                <w:left w:val="none" w:sz="0" w:space="0" w:color="auto"/>
                <w:bottom w:val="none" w:sz="0" w:space="0" w:color="auto"/>
                <w:right w:val="none" w:sz="0" w:space="0" w:color="auto"/>
              </w:divBdr>
              <w:divsChild>
                <w:div w:id="6867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7773">
          <w:marLeft w:val="0"/>
          <w:marRight w:val="0"/>
          <w:marTop w:val="0"/>
          <w:marBottom w:val="0"/>
          <w:divBdr>
            <w:top w:val="none" w:sz="0" w:space="0" w:color="auto"/>
            <w:left w:val="none" w:sz="0" w:space="0" w:color="auto"/>
            <w:bottom w:val="none" w:sz="0" w:space="0" w:color="auto"/>
            <w:right w:val="none" w:sz="0" w:space="0" w:color="auto"/>
          </w:divBdr>
          <w:divsChild>
            <w:div w:id="680816111">
              <w:marLeft w:val="0"/>
              <w:marRight w:val="0"/>
              <w:marTop w:val="0"/>
              <w:marBottom w:val="0"/>
              <w:divBdr>
                <w:top w:val="none" w:sz="0" w:space="0" w:color="auto"/>
                <w:left w:val="none" w:sz="0" w:space="0" w:color="auto"/>
                <w:bottom w:val="none" w:sz="0" w:space="0" w:color="auto"/>
                <w:right w:val="none" w:sz="0" w:space="0" w:color="auto"/>
              </w:divBdr>
              <w:divsChild>
                <w:div w:id="2008944762">
                  <w:marLeft w:val="0"/>
                  <w:marRight w:val="0"/>
                  <w:marTop w:val="0"/>
                  <w:marBottom w:val="0"/>
                  <w:divBdr>
                    <w:top w:val="none" w:sz="0" w:space="0" w:color="auto"/>
                    <w:left w:val="none" w:sz="0" w:space="0" w:color="auto"/>
                    <w:bottom w:val="none" w:sz="0" w:space="0" w:color="auto"/>
                    <w:right w:val="none" w:sz="0" w:space="0" w:color="auto"/>
                  </w:divBdr>
                </w:div>
              </w:divsChild>
            </w:div>
            <w:div w:id="367148776">
              <w:marLeft w:val="0"/>
              <w:marRight w:val="0"/>
              <w:marTop w:val="0"/>
              <w:marBottom w:val="0"/>
              <w:divBdr>
                <w:top w:val="none" w:sz="0" w:space="0" w:color="auto"/>
                <w:left w:val="none" w:sz="0" w:space="0" w:color="auto"/>
                <w:bottom w:val="none" w:sz="0" w:space="0" w:color="auto"/>
                <w:right w:val="none" w:sz="0" w:space="0" w:color="auto"/>
              </w:divBdr>
              <w:divsChild>
                <w:div w:id="55019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325">
          <w:marLeft w:val="0"/>
          <w:marRight w:val="0"/>
          <w:marTop w:val="0"/>
          <w:marBottom w:val="0"/>
          <w:divBdr>
            <w:top w:val="none" w:sz="0" w:space="0" w:color="auto"/>
            <w:left w:val="none" w:sz="0" w:space="0" w:color="auto"/>
            <w:bottom w:val="none" w:sz="0" w:space="0" w:color="auto"/>
            <w:right w:val="none" w:sz="0" w:space="0" w:color="auto"/>
          </w:divBdr>
          <w:divsChild>
            <w:div w:id="1485849831">
              <w:marLeft w:val="0"/>
              <w:marRight w:val="0"/>
              <w:marTop w:val="0"/>
              <w:marBottom w:val="0"/>
              <w:divBdr>
                <w:top w:val="none" w:sz="0" w:space="0" w:color="auto"/>
                <w:left w:val="none" w:sz="0" w:space="0" w:color="auto"/>
                <w:bottom w:val="none" w:sz="0" w:space="0" w:color="auto"/>
                <w:right w:val="none" w:sz="0" w:space="0" w:color="auto"/>
              </w:divBdr>
              <w:divsChild>
                <w:div w:id="2123725001">
                  <w:marLeft w:val="0"/>
                  <w:marRight w:val="0"/>
                  <w:marTop w:val="0"/>
                  <w:marBottom w:val="0"/>
                  <w:divBdr>
                    <w:top w:val="none" w:sz="0" w:space="0" w:color="auto"/>
                    <w:left w:val="none" w:sz="0" w:space="0" w:color="auto"/>
                    <w:bottom w:val="none" w:sz="0" w:space="0" w:color="auto"/>
                    <w:right w:val="none" w:sz="0" w:space="0" w:color="auto"/>
                  </w:divBdr>
                </w:div>
              </w:divsChild>
            </w:div>
            <w:div w:id="1485000853">
              <w:marLeft w:val="0"/>
              <w:marRight w:val="0"/>
              <w:marTop w:val="0"/>
              <w:marBottom w:val="0"/>
              <w:divBdr>
                <w:top w:val="none" w:sz="0" w:space="0" w:color="auto"/>
                <w:left w:val="none" w:sz="0" w:space="0" w:color="auto"/>
                <w:bottom w:val="none" w:sz="0" w:space="0" w:color="auto"/>
                <w:right w:val="none" w:sz="0" w:space="0" w:color="auto"/>
              </w:divBdr>
              <w:divsChild>
                <w:div w:id="21048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5310">
          <w:marLeft w:val="0"/>
          <w:marRight w:val="0"/>
          <w:marTop w:val="0"/>
          <w:marBottom w:val="0"/>
          <w:divBdr>
            <w:top w:val="none" w:sz="0" w:space="0" w:color="auto"/>
            <w:left w:val="none" w:sz="0" w:space="0" w:color="auto"/>
            <w:bottom w:val="none" w:sz="0" w:space="0" w:color="auto"/>
            <w:right w:val="none" w:sz="0" w:space="0" w:color="auto"/>
          </w:divBdr>
          <w:divsChild>
            <w:div w:id="886991287">
              <w:marLeft w:val="0"/>
              <w:marRight w:val="0"/>
              <w:marTop w:val="0"/>
              <w:marBottom w:val="0"/>
              <w:divBdr>
                <w:top w:val="none" w:sz="0" w:space="0" w:color="auto"/>
                <w:left w:val="none" w:sz="0" w:space="0" w:color="auto"/>
                <w:bottom w:val="none" w:sz="0" w:space="0" w:color="auto"/>
                <w:right w:val="none" w:sz="0" w:space="0" w:color="auto"/>
              </w:divBdr>
              <w:divsChild>
                <w:div w:id="994383728">
                  <w:marLeft w:val="0"/>
                  <w:marRight w:val="0"/>
                  <w:marTop w:val="0"/>
                  <w:marBottom w:val="0"/>
                  <w:divBdr>
                    <w:top w:val="none" w:sz="0" w:space="0" w:color="auto"/>
                    <w:left w:val="none" w:sz="0" w:space="0" w:color="auto"/>
                    <w:bottom w:val="none" w:sz="0" w:space="0" w:color="auto"/>
                    <w:right w:val="none" w:sz="0" w:space="0" w:color="auto"/>
                  </w:divBdr>
                </w:div>
              </w:divsChild>
            </w:div>
            <w:div w:id="733967752">
              <w:marLeft w:val="0"/>
              <w:marRight w:val="0"/>
              <w:marTop w:val="0"/>
              <w:marBottom w:val="0"/>
              <w:divBdr>
                <w:top w:val="none" w:sz="0" w:space="0" w:color="auto"/>
                <w:left w:val="none" w:sz="0" w:space="0" w:color="auto"/>
                <w:bottom w:val="none" w:sz="0" w:space="0" w:color="auto"/>
                <w:right w:val="none" w:sz="0" w:space="0" w:color="auto"/>
              </w:divBdr>
              <w:divsChild>
                <w:div w:id="903224106">
                  <w:marLeft w:val="0"/>
                  <w:marRight w:val="0"/>
                  <w:marTop w:val="0"/>
                  <w:marBottom w:val="0"/>
                  <w:divBdr>
                    <w:top w:val="none" w:sz="0" w:space="0" w:color="auto"/>
                    <w:left w:val="none" w:sz="0" w:space="0" w:color="auto"/>
                    <w:bottom w:val="none" w:sz="0" w:space="0" w:color="auto"/>
                    <w:right w:val="none" w:sz="0" w:space="0" w:color="auto"/>
                  </w:divBdr>
                </w:div>
              </w:divsChild>
            </w:div>
            <w:div w:id="1368214137">
              <w:marLeft w:val="0"/>
              <w:marRight w:val="0"/>
              <w:marTop w:val="0"/>
              <w:marBottom w:val="0"/>
              <w:divBdr>
                <w:top w:val="none" w:sz="0" w:space="0" w:color="auto"/>
                <w:left w:val="none" w:sz="0" w:space="0" w:color="auto"/>
                <w:bottom w:val="none" w:sz="0" w:space="0" w:color="auto"/>
                <w:right w:val="none" w:sz="0" w:space="0" w:color="auto"/>
              </w:divBdr>
              <w:divsChild>
                <w:div w:id="494955760">
                  <w:marLeft w:val="0"/>
                  <w:marRight w:val="0"/>
                  <w:marTop w:val="0"/>
                  <w:marBottom w:val="0"/>
                  <w:divBdr>
                    <w:top w:val="none" w:sz="0" w:space="0" w:color="auto"/>
                    <w:left w:val="none" w:sz="0" w:space="0" w:color="auto"/>
                    <w:bottom w:val="none" w:sz="0" w:space="0" w:color="auto"/>
                    <w:right w:val="none" w:sz="0" w:space="0" w:color="auto"/>
                  </w:divBdr>
                </w:div>
              </w:divsChild>
            </w:div>
            <w:div w:id="463498816">
              <w:marLeft w:val="0"/>
              <w:marRight w:val="0"/>
              <w:marTop w:val="0"/>
              <w:marBottom w:val="0"/>
              <w:divBdr>
                <w:top w:val="none" w:sz="0" w:space="0" w:color="auto"/>
                <w:left w:val="none" w:sz="0" w:space="0" w:color="auto"/>
                <w:bottom w:val="none" w:sz="0" w:space="0" w:color="auto"/>
                <w:right w:val="none" w:sz="0" w:space="0" w:color="auto"/>
              </w:divBdr>
              <w:divsChild>
                <w:div w:id="2632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763101">
      <w:bodyDiv w:val="1"/>
      <w:marLeft w:val="0"/>
      <w:marRight w:val="0"/>
      <w:marTop w:val="0"/>
      <w:marBottom w:val="0"/>
      <w:divBdr>
        <w:top w:val="none" w:sz="0" w:space="0" w:color="auto"/>
        <w:left w:val="none" w:sz="0" w:space="0" w:color="auto"/>
        <w:bottom w:val="none" w:sz="0" w:space="0" w:color="auto"/>
        <w:right w:val="none" w:sz="0" w:space="0" w:color="auto"/>
      </w:divBdr>
    </w:div>
    <w:div w:id="1539010792">
      <w:bodyDiv w:val="1"/>
      <w:marLeft w:val="0"/>
      <w:marRight w:val="0"/>
      <w:marTop w:val="0"/>
      <w:marBottom w:val="0"/>
      <w:divBdr>
        <w:top w:val="none" w:sz="0" w:space="0" w:color="auto"/>
        <w:left w:val="none" w:sz="0" w:space="0" w:color="auto"/>
        <w:bottom w:val="none" w:sz="0" w:space="0" w:color="auto"/>
        <w:right w:val="none" w:sz="0" w:space="0" w:color="auto"/>
      </w:divBdr>
    </w:div>
    <w:div w:id="1790391356">
      <w:bodyDiv w:val="1"/>
      <w:marLeft w:val="0"/>
      <w:marRight w:val="0"/>
      <w:marTop w:val="0"/>
      <w:marBottom w:val="0"/>
      <w:divBdr>
        <w:top w:val="none" w:sz="0" w:space="0" w:color="auto"/>
        <w:left w:val="none" w:sz="0" w:space="0" w:color="auto"/>
        <w:bottom w:val="none" w:sz="0" w:space="0" w:color="auto"/>
        <w:right w:val="none" w:sz="0" w:space="0" w:color="auto"/>
      </w:divBdr>
      <w:divsChild>
        <w:div w:id="1224560952">
          <w:marLeft w:val="0"/>
          <w:marRight w:val="0"/>
          <w:marTop w:val="0"/>
          <w:marBottom w:val="0"/>
          <w:divBdr>
            <w:top w:val="none" w:sz="0" w:space="0" w:color="auto"/>
            <w:left w:val="none" w:sz="0" w:space="0" w:color="auto"/>
            <w:bottom w:val="none" w:sz="0" w:space="0" w:color="auto"/>
            <w:right w:val="none" w:sz="0" w:space="0" w:color="auto"/>
          </w:divBdr>
          <w:divsChild>
            <w:div w:id="1055659775">
              <w:marLeft w:val="0"/>
              <w:marRight w:val="0"/>
              <w:marTop w:val="0"/>
              <w:marBottom w:val="0"/>
              <w:divBdr>
                <w:top w:val="none" w:sz="0" w:space="0" w:color="auto"/>
                <w:left w:val="none" w:sz="0" w:space="0" w:color="auto"/>
                <w:bottom w:val="none" w:sz="0" w:space="0" w:color="auto"/>
                <w:right w:val="none" w:sz="0" w:space="0" w:color="auto"/>
              </w:divBdr>
            </w:div>
          </w:divsChild>
        </w:div>
        <w:div w:id="679896391">
          <w:marLeft w:val="0"/>
          <w:marRight w:val="0"/>
          <w:marTop w:val="0"/>
          <w:marBottom w:val="0"/>
          <w:divBdr>
            <w:top w:val="none" w:sz="0" w:space="0" w:color="auto"/>
            <w:left w:val="none" w:sz="0" w:space="0" w:color="auto"/>
            <w:bottom w:val="none" w:sz="0" w:space="0" w:color="auto"/>
            <w:right w:val="none" w:sz="0" w:space="0" w:color="auto"/>
          </w:divBdr>
          <w:divsChild>
            <w:div w:id="210071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5376">
      <w:bodyDiv w:val="1"/>
      <w:marLeft w:val="0"/>
      <w:marRight w:val="0"/>
      <w:marTop w:val="0"/>
      <w:marBottom w:val="0"/>
      <w:divBdr>
        <w:top w:val="none" w:sz="0" w:space="0" w:color="auto"/>
        <w:left w:val="none" w:sz="0" w:space="0" w:color="auto"/>
        <w:bottom w:val="none" w:sz="0" w:space="0" w:color="auto"/>
        <w:right w:val="none" w:sz="0" w:space="0" w:color="auto"/>
      </w:divBdr>
    </w:div>
    <w:div w:id="201544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moon.org/wp-content/uploads/2017/11/Identity-and-Colonialism-in-the-Occupied-Gola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lestine-studies.org/en/node/165332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lmawqef.com/spip.php?article5401&amp;debut_articles_rubrique=40&amp;lang=ar" TargetMode="External"/><Relationship Id="rId4" Type="http://schemas.openxmlformats.org/officeDocument/2006/relationships/settings" Target="settings.xml"/><Relationship Id="rId9" Type="http://schemas.openxmlformats.org/officeDocument/2006/relationships/hyperlink" Target="https://bidayatmag.com/node/2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7FEB9D5-E11C-7A43-9454-A5701D584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2320</Words>
  <Characters>13227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Munir Fakhereldin</dc:creator>
  <cp:keywords/>
  <dc:description/>
  <cp:lastModifiedBy>Microsoft Office User</cp:lastModifiedBy>
  <cp:revision>7</cp:revision>
  <cp:lastPrinted>2019-05-24T09:01:00Z</cp:lastPrinted>
  <dcterms:created xsi:type="dcterms:W3CDTF">2023-05-05T09:14:00Z</dcterms:created>
  <dcterms:modified xsi:type="dcterms:W3CDTF">2023-05-05T10:04:00Z</dcterms:modified>
</cp:coreProperties>
</file>